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417"/>
        <w:gridCol w:w="5189"/>
      </w:tblGrid>
      <w:tr w:rsidR="00FA34E0" w:rsidRPr="00171929" w:rsidTr="004E3D94">
        <w:tc>
          <w:tcPr>
            <w:tcW w:w="4417" w:type="dxa"/>
          </w:tcPr>
          <w:p w:rsidR="00FA34E0" w:rsidRPr="004E1212" w:rsidRDefault="009D0D88" w:rsidP="002B69ED">
            <w:pPr>
              <w:pStyle w:val="Subject"/>
              <w:spacing w:before="300" w:after="240"/>
              <w:ind w:left="0" w:firstLine="0"/>
              <w:jc w:val="center"/>
              <w:rPr>
                <w:rFonts w:asciiTheme="minorHAnsi" w:hAnsiTheme="minorHAnsi" w:cs="Arial"/>
                <w:sz w:val="40"/>
              </w:rPr>
            </w:pPr>
            <w:r>
              <w:rPr>
                <w:rFonts w:ascii="Times New Roman Bold" w:hAnsi="Times New Roman Bold"/>
                <w:smallCaps/>
                <w:sz w:val="22"/>
                <w:szCs w:val="18"/>
              </w:rPr>
              <w:t xml:space="preserve">Annexe </w:t>
            </w:r>
            <w:r w:rsidR="00171929">
              <w:rPr>
                <w:rFonts w:ascii="Times New Roman Bold" w:hAnsi="Times New Roman Bold"/>
                <w:smallCaps/>
                <w:sz w:val="22"/>
                <w:szCs w:val="18"/>
              </w:rPr>
              <w:t>4</w:t>
            </w:r>
            <w:r w:rsidR="00B81E0F" w:rsidRPr="004E1212">
              <w:rPr>
                <w:rFonts w:ascii="Times New Roman Bold" w:hAnsi="Times New Roman Bold"/>
                <w:smallCaps/>
                <w:sz w:val="22"/>
                <w:szCs w:val="18"/>
              </w:rPr>
              <w:t xml:space="preserve"> </w:t>
            </w:r>
            <w:r w:rsidR="00FA34E0" w:rsidRPr="004E1212">
              <w:rPr>
                <w:rFonts w:ascii="Times New Roman Bold" w:hAnsi="Times New Roman Bold"/>
                <w:smallCaps/>
                <w:sz w:val="22"/>
                <w:szCs w:val="18"/>
              </w:rPr>
              <w:t>Bordereau de soumission</w:t>
            </w:r>
          </w:p>
        </w:tc>
        <w:tc>
          <w:tcPr>
            <w:tcW w:w="5189" w:type="dxa"/>
          </w:tcPr>
          <w:p w:rsidR="00FA34E0" w:rsidRPr="00695DC5" w:rsidRDefault="004E1212" w:rsidP="002B69ED">
            <w:pPr>
              <w:pStyle w:val="Subject"/>
              <w:spacing w:before="240" w:after="240"/>
              <w:ind w:left="0" w:firstLine="0"/>
              <w:rPr>
                <w:rFonts w:asciiTheme="minorHAnsi" w:hAnsiTheme="minorHAnsi" w:cs="Arial"/>
                <w:sz w:val="32"/>
              </w:rPr>
            </w:pPr>
            <w:r w:rsidRPr="00695DC5">
              <w:rPr>
                <w:rFonts w:ascii="Arial" w:hAnsi="Arial" w:cs="Arial"/>
                <w:sz w:val="22"/>
                <w:szCs w:val="18"/>
              </w:rPr>
              <w:t>Prix en euros, tous frais compris et hors TVA et autres taxes</w:t>
            </w:r>
          </w:p>
        </w:tc>
      </w:tr>
    </w:tbl>
    <w:p w:rsidR="00FA34E0" w:rsidRPr="00FA4FDC" w:rsidRDefault="00FA34E0" w:rsidP="00FA34E0">
      <w:pPr>
        <w:spacing w:before="120" w:after="120"/>
        <w:jc w:val="center"/>
        <w:rPr>
          <w:rFonts w:asciiTheme="minorHAnsi" w:hAnsiTheme="minorHAnsi" w:cs="Arial"/>
          <w:b/>
          <w:spacing w:val="40"/>
          <w:sz w:val="32"/>
          <w:lang w:val="fr-FR"/>
        </w:rPr>
      </w:pPr>
    </w:p>
    <w:p w:rsidR="00FA34E0" w:rsidRDefault="00171929" w:rsidP="00FA34E0">
      <w:pPr>
        <w:spacing w:before="120" w:after="120"/>
        <w:ind w:left="-284" w:right="-143"/>
        <w:jc w:val="center"/>
        <w:rPr>
          <w:rFonts w:ascii="Arial" w:hAnsi="Arial" w:cs="Arial"/>
          <w:b/>
          <w:spacing w:val="40"/>
          <w:sz w:val="22"/>
          <w:szCs w:val="18"/>
          <w:lang w:val="fr-FR" w:eastAsia="en-GB"/>
        </w:rPr>
      </w:pPr>
      <w:r>
        <w:rPr>
          <w:rFonts w:ascii="Arial" w:hAnsi="Arial" w:cs="Arial"/>
          <w:b/>
          <w:spacing w:val="40"/>
          <w:sz w:val="22"/>
          <w:szCs w:val="18"/>
          <w:lang w:val="fr-FR" w:eastAsia="en-GB"/>
        </w:rPr>
        <w:t>EEBI/2024/0012</w:t>
      </w:r>
      <w:r w:rsidR="00FA34E0" w:rsidRPr="004E1212">
        <w:rPr>
          <w:rFonts w:ascii="Arial" w:hAnsi="Arial" w:cs="Arial"/>
          <w:b/>
          <w:spacing w:val="40"/>
          <w:sz w:val="22"/>
          <w:szCs w:val="18"/>
          <w:lang w:val="fr-FR" w:eastAsia="en-GB"/>
        </w:rPr>
        <w:t xml:space="preserve"> : </w:t>
      </w:r>
      <w:r w:rsidR="00A36EE8">
        <w:rPr>
          <w:rFonts w:ascii="Arial" w:hAnsi="Arial" w:cs="Arial"/>
          <w:b/>
          <w:spacing w:val="40"/>
          <w:sz w:val="22"/>
          <w:szCs w:val="18"/>
          <w:lang w:val="fr-FR" w:eastAsia="en-GB"/>
        </w:rPr>
        <w:t xml:space="preserve">Fourniture de </w:t>
      </w:r>
      <w:r w:rsidR="00C62617">
        <w:rPr>
          <w:rFonts w:ascii="Arial" w:hAnsi="Arial" w:cs="Arial"/>
          <w:b/>
          <w:spacing w:val="40"/>
          <w:sz w:val="22"/>
          <w:szCs w:val="18"/>
          <w:lang w:val="fr-FR" w:eastAsia="en-GB"/>
        </w:rPr>
        <w:t>cloisons amovibles</w:t>
      </w:r>
    </w:p>
    <w:p w:rsidR="00692701" w:rsidRPr="004E1212" w:rsidRDefault="00692701" w:rsidP="00FA34E0">
      <w:pPr>
        <w:spacing w:before="120" w:after="120"/>
        <w:ind w:left="-284" w:right="-143"/>
        <w:jc w:val="center"/>
        <w:rPr>
          <w:rFonts w:ascii="Arial" w:hAnsi="Arial" w:cs="Arial"/>
          <w:b/>
          <w:spacing w:val="40"/>
          <w:sz w:val="22"/>
          <w:szCs w:val="18"/>
          <w:lang w:val="fr-FR" w:eastAsia="en-GB"/>
        </w:rPr>
      </w:pPr>
    </w:p>
    <w:p w:rsidR="00FA34E0" w:rsidRPr="00521D6A" w:rsidRDefault="00FA34E0" w:rsidP="00FA34E0">
      <w:pPr>
        <w:rPr>
          <w:rFonts w:asciiTheme="minorHAnsi" w:hAnsiTheme="minorHAnsi" w:cs="Arial"/>
          <w:sz w:val="10"/>
          <w:lang w:val="fr-FR"/>
        </w:rPr>
      </w:pPr>
    </w:p>
    <w:tbl>
      <w:tblPr>
        <w:tblW w:w="96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94"/>
        <w:gridCol w:w="5812"/>
      </w:tblGrid>
      <w:tr w:rsidR="00FA34E0" w:rsidRPr="004E1212" w:rsidTr="004E3D94">
        <w:tc>
          <w:tcPr>
            <w:tcW w:w="3794" w:type="dxa"/>
            <w:tcBorders>
              <w:top w:val="double" w:sz="4" w:space="0" w:color="auto"/>
              <w:bottom w:val="double" w:sz="4" w:space="0" w:color="auto"/>
              <w:right w:val="nil"/>
            </w:tcBorders>
          </w:tcPr>
          <w:p w:rsidR="00FA34E0" w:rsidRPr="004E1212" w:rsidRDefault="00FA34E0" w:rsidP="002B69ED">
            <w:pPr>
              <w:spacing w:before="360" w:after="120"/>
              <w:rPr>
                <w:rFonts w:asciiTheme="minorHAnsi" w:hAnsiTheme="minorHAnsi" w:cs="Arial"/>
                <w:sz w:val="32"/>
                <w:lang w:val="fr-FR"/>
              </w:rPr>
            </w:pPr>
            <w:r w:rsidRPr="004E1212">
              <w:rPr>
                <w:rFonts w:ascii="Arial" w:hAnsi="Arial" w:cs="Arial"/>
                <w:sz w:val="22"/>
                <w:szCs w:val="18"/>
                <w:lang w:val="fr-FR" w:eastAsia="en-GB"/>
              </w:rPr>
              <w:t xml:space="preserve">Nom et adresse du </w:t>
            </w:r>
            <w:proofErr w:type="gramStart"/>
            <w:r w:rsidRPr="004E1212">
              <w:rPr>
                <w:rFonts w:ascii="Arial" w:hAnsi="Arial" w:cs="Arial"/>
                <w:sz w:val="22"/>
                <w:szCs w:val="18"/>
                <w:lang w:val="fr-FR" w:eastAsia="en-GB"/>
              </w:rPr>
              <w:t>soumissionnaire</w:t>
            </w:r>
            <w:r w:rsidRPr="004E1212">
              <w:rPr>
                <w:rFonts w:asciiTheme="minorHAnsi" w:hAnsiTheme="minorHAnsi" w:cs="Arial"/>
                <w:sz w:val="32"/>
                <w:lang w:val="fr-FR"/>
              </w:rPr>
              <w:t>:</w:t>
            </w:r>
            <w:proofErr w:type="gramEnd"/>
          </w:p>
        </w:tc>
        <w:tc>
          <w:tcPr>
            <w:tcW w:w="5812" w:type="dxa"/>
            <w:tcBorders>
              <w:left w:val="nil"/>
            </w:tcBorders>
          </w:tcPr>
          <w:p w:rsidR="00FA34E0" w:rsidRPr="004E1212" w:rsidRDefault="00FA34E0" w:rsidP="002B69ED">
            <w:pPr>
              <w:spacing w:before="120" w:after="120"/>
              <w:rPr>
                <w:rFonts w:asciiTheme="minorHAnsi" w:hAnsiTheme="minorHAnsi" w:cs="Arial"/>
                <w:sz w:val="32"/>
                <w:lang w:val="fr-FR"/>
              </w:rPr>
            </w:pPr>
            <w:r w:rsidRPr="004E1212">
              <w:rPr>
                <w:rFonts w:asciiTheme="minorHAnsi" w:hAnsiTheme="minorHAnsi" w:cs="Arial"/>
                <w:sz w:val="32"/>
                <w:lang w:val="fr-FR"/>
              </w:rPr>
              <w:t>………………………………………………………………………………………………………………………………………………………………</w:t>
            </w:r>
          </w:p>
        </w:tc>
      </w:tr>
    </w:tbl>
    <w:p w:rsidR="00C80F3C" w:rsidRDefault="00C80F3C" w:rsidP="00FA34E0">
      <w:pPr>
        <w:rPr>
          <w:rFonts w:asciiTheme="minorHAnsi" w:hAnsiTheme="minorHAnsi" w:cs="Arial"/>
          <w:lang w:val="fr-FR"/>
        </w:rPr>
      </w:pPr>
    </w:p>
    <w:p w:rsidR="001844C2" w:rsidRDefault="001844C2" w:rsidP="00FA34E0">
      <w:pPr>
        <w:rPr>
          <w:rFonts w:asciiTheme="minorHAnsi" w:hAnsiTheme="minorHAnsi" w:cs="Arial"/>
          <w:lang w:val="fr-FR"/>
        </w:rPr>
      </w:pPr>
    </w:p>
    <w:p w:rsidR="002D735D" w:rsidRPr="001844C2" w:rsidRDefault="00396950" w:rsidP="00396950">
      <w:pPr>
        <w:pStyle w:val="ListParagraph"/>
        <w:numPr>
          <w:ilvl w:val="0"/>
          <w:numId w:val="3"/>
        </w:numPr>
        <w:rPr>
          <w:rFonts w:ascii="Calibri" w:hAnsi="Calibri"/>
          <w:b/>
          <w:color w:val="000000"/>
          <w:lang w:val="fr-BE" w:eastAsia="fr-BE"/>
        </w:rPr>
      </w:pPr>
      <w:r w:rsidRPr="001844C2">
        <w:rPr>
          <w:rFonts w:ascii="Calibri" w:hAnsi="Calibri"/>
          <w:b/>
          <w:color w:val="000000"/>
          <w:lang w:val="fr-BE" w:eastAsia="fr-BE"/>
        </w:rPr>
        <w:t xml:space="preserve">Fourniture et pose d’une cloison amovible </w:t>
      </w:r>
      <w:r w:rsidR="002D735D" w:rsidRPr="001844C2">
        <w:rPr>
          <w:rFonts w:ascii="Calibri" w:hAnsi="Calibri"/>
          <w:b/>
          <w:color w:val="000000"/>
          <w:lang w:val="fr-BE" w:eastAsia="fr-BE"/>
        </w:rPr>
        <w:t xml:space="preserve">en vitre avec 1 porte </w:t>
      </w:r>
      <w:r w:rsidR="00C74F45" w:rsidRPr="001844C2">
        <w:rPr>
          <w:rFonts w:ascii="Calibri" w:hAnsi="Calibri"/>
          <w:b/>
          <w:color w:val="000000"/>
          <w:lang w:val="fr-BE" w:eastAsia="fr-BE"/>
        </w:rPr>
        <w:t>dans l’une des classes de l’Ecole européenne de Bruxelles 1</w:t>
      </w:r>
      <w:r w:rsidR="00EF53EA" w:rsidRPr="001844C2">
        <w:rPr>
          <w:rFonts w:ascii="Calibri" w:hAnsi="Calibri"/>
          <w:b/>
          <w:color w:val="000000"/>
          <w:lang w:val="fr-BE" w:eastAsia="fr-BE"/>
        </w:rPr>
        <w:t xml:space="preserve">. </w:t>
      </w:r>
    </w:p>
    <w:p w:rsidR="002D735D" w:rsidRDefault="002D735D" w:rsidP="002D735D">
      <w:pPr>
        <w:pStyle w:val="ListParagraph"/>
        <w:rPr>
          <w:rFonts w:ascii="Calibri" w:hAnsi="Calibri"/>
          <w:color w:val="000000"/>
          <w:lang w:val="fr-BE" w:eastAsia="fr-BE"/>
        </w:rPr>
      </w:pPr>
      <w:r>
        <w:rPr>
          <w:rFonts w:ascii="Calibri" w:hAnsi="Calibri"/>
          <w:color w:val="000000"/>
          <w:lang w:val="fr-BE" w:eastAsia="fr-BE"/>
        </w:rPr>
        <w:t xml:space="preserve">Description </w:t>
      </w:r>
      <w:r w:rsidR="00DB3171">
        <w:rPr>
          <w:rFonts w:ascii="Calibri" w:hAnsi="Calibri"/>
          <w:color w:val="000000"/>
          <w:lang w:val="fr-BE" w:eastAsia="fr-BE"/>
        </w:rPr>
        <w:t xml:space="preserve">d’un local type de l’école </w:t>
      </w:r>
      <w:r>
        <w:rPr>
          <w:rFonts w:ascii="Calibri" w:hAnsi="Calibri"/>
          <w:color w:val="000000"/>
          <w:lang w:val="fr-BE" w:eastAsia="fr-BE"/>
        </w:rPr>
        <w:t xml:space="preserve">dans </w:t>
      </w:r>
      <w:r w:rsidR="00DB3171">
        <w:rPr>
          <w:rFonts w:ascii="Calibri" w:hAnsi="Calibri"/>
          <w:color w:val="000000"/>
          <w:lang w:val="fr-BE" w:eastAsia="fr-BE"/>
        </w:rPr>
        <w:t>lequel</w:t>
      </w:r>
      <w:r>
        <w:rPr>
          <w:rFonts w:ascii="Calibri" w:hAnsi="Calibri"/>
          <w:color w:val="000000"/>
          <w:lang w:val="fr-BE" w:eastAsia="fr-BE"/>
        </w:rPr>
        <w:t xml:space="preserve"> la cloison </w:t>
      </w:r>
      <w:r w:rsidR="00DB3171">
        <w:rPr>
          <w:rFonts w:ascii="Calibri" w:hAnsi="Calibri"/>
          <w:color w:val="000000"/>
          <w:lang w:val="fr-BE" w:eastAsia="fr-BE"/>
        </w:rPr>
        <w:t>pourrait</w:t>
      </w:r>
      <w:r>
        <w:rPr>
          <w:rFonts w:ascii="Calibri" w:hAnsi="Calibri"/>
          <w:color w:val="000000"/>
          <w:lang w:val="fr-BE" w:eastAsia="fr-BE"/>
        </w:rPr>
        <w:t xml:space="preserve"> être livrée et installée :</w:t>
      </w:r>
    </w:p>
    <w:p w:rsidR="00C74F45" w:rsidRPr="002D735D" w:rsidRDefault="00EF53EA" w:rsidP="002D735D">
      <w:pPr>
        <w:pStyle w:val="ListParagraph"/>
        <w:numPr>
          <w:ilvl w:val="0"/>
          <w:numId w:val="6"/>
        </w:numPr>
        <w:rPr>
          <w:rFonts w:ascii="Calibri" w:hAnsi="Calibri"/>
          <w:color w:val="000000"/>
          <w:lang w:val="fr-BE" w:eastAsia="fr-BE"/>
        </w:rPr>
      </w:pPr>
      <w:r>
        <w:rPr>
          <w:rFonts w:ascii="Calibri" w:hAnsi="Calibri"/>
          <w:color w:val="000000"/>
          <w:lang w:val="fr-BE" w:eastAsia="fr-BE"/>
        </w:rPr>
        <w:t xml:space="preserve">La </w:t>
      </w:r>
      <w:r w:rsidR="002D735D">
        <w:rPr>
          <w:rFonts w:ascii="Calibri" w:hAnsi="Calibri"/>
          <w:color w:val="000000"/>
          <w:lang w:val="fr-BE" w:eastAsia="fr-BE"/>
        </w:rPr>
        <w:t>salle fait 7m sur 9</w:t>
      </w:r>
      <w:r>
        <w:rPr>
          <w:rFonts w:ascii="Calibri" w:hAnsi="Calibri"/>
          <w:color w:val="000000"/>
          <w:lang w:val="fr-BE" w:eastAsia="fr-BE"/>
        </w:rPr>
        <w:t xml:space="preserve">m et la cloison devra être installée </w:t>
      </w:r>
      <w:r w:rsidR="002D735D">
        <w:rPr>
          <w:rFonts w:ascii="Calibri" w:hAnsi="Calibri"/>
          <w:color w:val="000000"/>
          <w:lang w:val="fr-BE" w:eastAsia="fr-BE"/>
        </w:rPr>
        <w:t xml:space="preserve">sur toute la largeur (7m de cloison), et viendra </w:t>
      </w:r>
      <w:r w:rsidR="00171929">
        <w:rPr>
          <w:rFonts w:ascii="Calibri" w:hAnsi="Calibri"/>
          <w:color w:val="000000"/>
          <w:lang w:val="fr-BE" w:eastAsia="fr-BE"/>
        </w:rPr>
        <w:t>couper</w:t>
      </w:r>
      <w:r w:rsidR="002D735D">
        <w:rPr>
          <w:rFonts w:ascii="Calibri" w:hAnsi="Calibri"/>
          <w:color w:val="000000"/>
          <w:lang w:val="fr-BE" w:eastAsia="fr-BE"/>
        </w:rPr>
        <w:t xml:space="preserve"> la longueur en deux.</w:t>
      </w:r>
    </w:p>
    <w:p w:rsidR="00EF53EA" w:rsidRPr="001844C2" w:rsidRDefault="00EF53EA" w:rsidP="00EF53EA">
      <w:pPr>
        <w:pStyle w:val="ListParagraph"/>
        <w:numPr>
          <w:ilvl w:val="0"/>
          <w:numId w:val="6"/>
        </w:numPr>
        <w:rPr>
          <w:rFonts w:ascii="Calibri" w:hAnsi="Calibri"/>
          <w:color w:val="000000"/>
          <w:lang w:val="fr-BE" w:eastAsia="fr-BE"/>
        </w:rPr>
      </w:pPr>
      <w:r w:rsidRPr="001844C2">
        <w:rPr>
          <w:rFonts w:ascii="Calibri" w:hAnsi="Calibri"/>
          <w:color w:val="000000"/>
          <w:lang w:val="fr-BE" w:eastAsia="fr-BE"/>
        </w:rPr>
        <w:t>Hauteur sous plafond : 2m70</w:t>
      </w:r>
    </w:p>
    <w:p w:rsidR="00EF53EA" w:rsidRPr="001844C2" w:rsidRDefault="00EF53EA" w:rsidP="00EF53EA">
      <w:pPr>
        <w:pStyle w:val="ListParagraph"/>
        <w:numPr>
          <w:ilvl w:val="0"/>
          <w:numId w:val="6"/>
        </w:numPr>
        <w:rPr>
          <w:rFonts w:ascii="Calibri" w:hAnsi="Calibri"/>
          <w:color w:val="000000"/>
          <w:lang w:val="fr-BE" w:eastAsia="fr-BE"/>
        </w:rPr>
      </w:pPr>
      <w:r w:rsidRPr="001844C2">
        <w:rPr>
          <w:rFonts w:ascii="Calibri" w:hAnsi="Calibri"/>
          <w:color w:val="000000"/>
          <w:lang w:val="fr-BE" w:eastAsia="fr-BE"/>
        </w:rPr>
        <w:t>Nature du sol : vinyl</w:t>
      </w:r>
      <w:r w:rsidR="009E1D20">
        <w:rPr>
          <w:rFonts w:ascii="Calibri" w:hAnsi="Calibri"/>
          <w:color w:val="000000"/>
          <w:lang w:val="fr-BE" w:eastAsia="fr-BE"/>
        </w:rPr>
        <w:t>e</w:t>
      </w:r>
    </w:p>
    <w:p w:rsidR="000D36FF" w:rsidRPr="00913951" w:rsidRDefault="00EF53EA" w:rsidP="008D09AA">
      <w:pPr>
        <w:pStyle w:val="ListParagraph"/>
        <w:numPr>
          <w:ilvl w:val="0"/>
          <w:numId w:val="6"/>
        </w:numPr>
        <w:rPr>
          <w:lang w:val="fr-BE"/>
        </w:rPr>
      </w:pPr>
      <w:r w:rsidRPr="00913951">
        <w:rPr>
          <w:rFonts w:ascii="Calibri" w:hAnsi="Calibri"/>
          <w:color w:val="000000"/>
          <w:lang w:val="fr-BE" w:eastAsia="fr-BE"/>
        </w:rPr>
        <w:t>Nature du plafond : plafond suspendu en plaques de plâtre fixés sur une structure métallique.</w:t>
      </w:r>
      <w:bookmarkStart w:id="0" w:name="_GoBack"/>
      <w:bookmarkEnd w:id="0"/>
    </w:p>
    <w:tbl>
      <w:tblPr>
        <w:tblW w:w="9508" w:type="dxa"/>
        <w:tblInd w:w="60" w:type="dxa"/>
        <w:tblLayout w:type="fixed"/>
        <w:tblCellMar>
          <w:left w:w="70" w:type="dxa"/>
          <w:right w:w="70" w:type="dxa"/>
        </w:tblCellMar>
        <w:tblLook w:val="04A0" w:firstRow="1" w:lastRow="0" w:firstColumn="1" w:lastColumn="0" w:noHBand="0" w:noVBand="1"/>
      </w:tblPr>
      <w:tblGrid>
        <w:gridCol w:w="4686"/>
        <w:gridCol w:w="851"/>
        <w:gridCol w:w="1278"/>
        <w:gridCol w:w="1134"/>
        <w:gridCol w:w="1559"/>
      </w:tblGrid>
      <w:tr w:rsidR="007B7838" w:rsidRPr="00A14207" w:rsidTr="00A326A6">
        <w:trPr>
          <w:trHeight w:val="885"/>
        </w:trPr>
        <w:tc>
          <w:tcPr>
            <w:tcW w:w="4686" w:type="dxa"/>
            <w:tcBorders>
              <w:top w:val="single" w:sz="4" w:space="0" w:color="auto"/>
              <w:left w:val="single" w:sz="4" w:space="0" w:color="auto"/>
              <w:bottom w:val="single" w:sz="8" w:space="0" w:color="auto"/>
              <w:right w:val="single" w:sz="4" w:space="0" w:color="auto"/>
            </w:tcBorders>
            <w:shd w:val="clear" w:color="000000" w:fill="D9D9D9"/>
            <w:vAlign w:val="center"/>
            <w:hideMark/>
          </w:tcPr>
          <w:p w:rsidR="007B7838" w:rsidRPr="00A14207" w:rsidRDefault="007B7838" w:rsidP="007B7838">
            <w:pPr>
              <w:jc w:val="center"/>
              <w:rPr>
                <w:rFonts w:ascii="Calibri" w:hAnsi="Calibri"/>
                <w:sz w:val="22"/>
                <w:szCs w:val="22"/>
                <w:lang w:val="fr-BE" w:eastAsia="fr-BE"/>
              </w:rPr>
            </w:pPr>
            <w:r>
              <w:rPr>
                <w:rFonts w:ascii="Calibri" w:hAnsi="Calibri"/>
                <w:sz w:val="22"/>
                <w:szCs w:val="22"/>
                <w:lang w:val="fr-BE" w:eastAsia="fr-BE"/>
              </w:rPr>
              <w:t>D</w:t>
            </w:r>
            <w:r w:rsidRPr="00A14207">
              <w:rPr>
                <w:rFonts w:ascii="Calibri" w:hAnsi="Calibri"/>
                <w:sz w:val="22"/>
                <w:szCs w:val="22"/>
                <w:lang w:val="fr-BE" w:eastAsia="fr-BE"/>
              </w:rPr>
              <w:t>escription</w:t>
            </w:r>
          </w:p>
        </w:tc>
        <w:tc>
          <w:tcPr>
            <w:tcW w:w="851" w:type="dxa"/>
            <w:tcBorders>
              <w:top w:val="single" w:sz="4" w:space="0" w:color="auto"/>
              <w:left w:val="nil"/>
              <w:bottom w:val="single" w:sz="8" w:space="0" w:color="auto"/>
              <w:right w:val="single" w:sz="4" w:space="0" w:color="auto"/>
            </w:tcBorders>
            <w:shd w:val="clear" w:color="000000" w:fill="D9D9D9"/>
            <w:vAlign w:val="center"/>
            <w:hideMark/>
          </w:tcPr>
          <w:p w:rsidR="007B7838" w:rsidRPr="00A14207" w:rsidRDefault="008C6963" w:rsidP="007B7838">
            <w:pPr>
              <w:jc w:val="center"/>
              <w:rPr>
                <w:rFonts w:ascii="Calibri" w:hAnsi="Calibri"/>
                <w:sz w:val="22"/>
                <w:szCs w:val="22"/>
                <w:lang w:val="fr-BE" w:eastAsia="fr-BE"/>
              </w:rPr>
            </w:pPr>
            <w:r>
              <w:rPr>
                <w:rFonts w:ascii="Calibri" w:hAnsi="Calibri"/>
                <w:sz w:val="22"/>
                <w:szCs w:val="22"/>
                <w:lang w:val="fr-BE" w:eastAsia="fr-BE"/>
              </w:rPr>
              <w:t>Unité</w:t>
            </w:r>
          </w:p>
        </w:tc>
        <w:tc>
          <w:tcPr>
            <w:tcW w:w="1278" w:type="dxa"/>
            <w:tcBorders>
              <w:top w:val="single" w:sz="4" w:space="0" w:color="auto"/>
              <w:left w:val="nil"/>
              <w:bottom w:val="single" w:sz="8" w:space="0" w:color="auto"/>
              <w:right w:val="single" w:sz="4" w:space="0" w:color="auto"/>
            </w:tcBorders>
            <w:shd w:val="clear" w:color="000000" w:fill="D9D9D9"/>
            <w:vAlign w:val="center"/>
            <w:hideMark/>
          </w:tcPr>
          <w:p w:rsidR="007B7838" w:rsidRPr="00A14207" w:rsidRDefault="007B7838" w:rsidP="007B7838">
            <w:pPr>
              <w:jc w:val="center"/>
              <w:rPr>
                <w:rFonts w:ascii="Calibri" w:hAnsi="Calibri"/>
                <w:sz w:val="22"/>
                <w:szCs w:val="22"/>
                <w:lang w:val="fr-BE" w:eastAsia="fr-BE"/>
              </w:rPr>
            </w:pPr>
            <w:r>
              <w:rPr>
                <w:rFonts w:ascii="Calibri" w:hAnsi="Calibri"/>
                <w:sz w:val="22"/>
                <w:szCs w:val="22"/>
                <w:lang w:val="fr-BE" w:eastAsia="fr-BE"/>
              </w:rPr>
              <w:t>Prix unitaire</w:t>
            </w:r>
            <w:r w:rsidRPr="00A14207">
              <w:rPr>
                <w:rFonts w:ascii="Calibri" w:hAnsi="Calibri"/>
                <w:sz w:val="22"/>
                <w:szCs w:val="22"/>
                <w:lang w:val="fr-BE" w:eastAsia="fr-BE"/>
              </w:rPr>
              <w:t xml:space="preserve"> (</w:t>
            </w:r>
            <w:proofErr w:type="spellStart"/>
            <w:r w:rsidRPr="00A14207">
              <w:rPr>
                <w:rFonts w:ascii="Calibri" w:hAnsi="Calibri"/>
                <w:sz w:val="22"/>
                <w:szCs w:val="22"/>
                <w:lang w:val="fr-BE" w:eastAsia="fr-BE"/>
              </w:rPr>
              <w:t>eur</w:t>
            </w:r>
            <w:proofErr w:type="spellEnd"/>
            <w:r w:rsidRPr="00A14207">
              <w:rPr>
                <w:rFonts w:ascii="Calibri" w:hAnsi="Calibri"/>
                <w:sz w:val="22"/>
                <w:szCs w:val="22"/>
                <w:lang w:val="fr-BE" w:eastAsia="fr-BE"/>
              </w:rPr>
              <w:t>)</w:t>
            </w:r>
          </w:p>
        </w:tc>
        <w:tc>
          <w:tcPr>
            <w:tcW w:w="1134" w:type="dxa"/>
            <w:tcBorders>
              <w:top w:val="single" w:sz="4" w:space="0" w:color="auto"/>
              <w:left w:val="nil"/>
              <w:bottom w:val="single" w:sz="8" w:space="0" w:color="auto"/>
              <w:right w:val="single" w:sz="4" w:space="0" w:color="auto"/>
            </w:tcBorders>
            <w:shd w:val="clear" w:color="000000" w:fill="D9D9D9"/>
            <w:vAlign w:val="center"/>
            <w:hideMark/>
          </w:tcPr>
          <w:p w:rsidR="007B7838" w:rsidRPr="00A14207" w:rsidRDefault="007B7838" w:rsidP="007B7838">
            <w:pPr>
              <w:jc w:val="center"/>
              <w:rPr>
                <w:rFonts w:ascii="Calibri" w:hAnsi="Calibri"/>
                <w:sz w:val="22"/>
                <w:szCs w:val="22"/>
                <w:lang w:val="fr-BE" w:eastAsia="fr-BE"/>
              </w:rPr>
            </w:pPr>
            <w:r>
              <w:rPr>
                <w:rFonts w:ascii="Calibri" w:hAnsi="Calibri"/>
                <w:sz w:val="22"/>
                <w:szCs w:val="22"/>
                <w:lang w:val="fr-BE" w:eastAsia="fr-BE"/>
              </w:rPr>
              <w:t xml:space="preserve">Réduction </w:t>
            </w:r>
            <w:r w:rsidRPr="00A14207">
              <w:rPr>
                <w:rFonts w:ascii="Calibri" w:hAnsi="Calibri"/>
                <w:sz w:val="22"/>
                <w:szCs w:val="22"/>
                <w:lang w:val="fr-BE" w:eastAsia="fr-BE"/>
              </w:rPr>
              <w:t>(%)</w:t>
            </w:r>
          </w:p>
        </w:tc>
        <w:tc>
          <w:tcPr>
            <w:tcW w:w="1559" w:type="dxa"/>
            <w:tcBorders>
              <w:top w:val="single" w:sz="4" w:space="0" w:color="auto"/>
              <w:left w:val="nil"/>
              <w:bottom w:val="single" w:sz="8" w:space="0" w:color="auto"/>
              <w:right w:val="single" w:sz="4" w:space="0" w:color="auto"/>
            </w:tcBorders>
            <w:shd w:val="clear" w:color="000000" w:fill="D9D9D9"/>
            <w:vAlign w:val="center"/>
            <w:hideMark/>
          </w:tcPr>
          <w:p w:rsidR="007B7838" w:rsidRPr="00A14207" w:rsidRDefault="007B7838" w:rsidP="007B7838">
            <w:pPr>
              <w:jc w:val="center"/>
              <w:rPr>
                <w:rFonts w:ascii="Calibri" w:hAnsi="Calibri"/>
                <w:sz w:val="22"/>
                <w:szCs w:val="22"/>
                <w:lang w:val="fr-BE" w:eastAsia="fr-BE"/>
              </w:rPr>
            </w:pPr>
            <w:r>
              <w:rPr>
                <w:rFonts w:ascii="Calibri" w:hAnsi="Calibri"/>
                <w:sz w:val="22"/>
                <w:szCs w:val="22"/>
                <w:lang w:val="fr-BE" w:eastAsia="fr-BE"/>
              </w:rPr>
              <w:t>Prix total</w:t>
            </w:r>
            <w:r w:rsidRPr="00A14207">
              <w:rPr>
                <w:rFonts w:ascii="Calibri" w:hAnsi="Calibri"/>
                <w:sz w:val="22"/>
                <w:szCs w:val="22"/>
                <w:lang w:val="fr-BE" w:eastAsia="fr-BE"/>
              </w:rPr>
              <w:br/>
              <w:t>(Euro)</w:t>
            </w:r>
          </w:p>
        </w:tc>
      </w:tr>
      <w:tr w:rsidR="007B7838" w:rsidRPr="00A14207" w:rsidTr="001844C2">
        <w:trPr>
          <w:trHeight w:val="1573"/>
        </w:trPr>
        <w:tc>
          <w:tcPr>
            <w:tcW w:w="4686" w:type="dxa"/>
            <w:tcBorders>
              <w:top w:val="nil"/>
              <w:left w:val="single" w:sz="4" w:space="0" w:color="auto"/>
              <w:bottom w:val="single" w:sz="4" w:space="0" w:color="auto"/>
              <w:right w:val="single" w:sz="4" w:space="0" w:color="auto"/>
            </w:tcBorders>
            <w:shd w:val="clear" w:color="000000" w:fill="DCE6F1"/>
            <w:noWrap/>
            <w:vAlign w:val="center"/>
          </w:tcPr>
          <w:p w:rsidR="007B7838" w:rsidRDefault="00F165BC" w:rsidP="00A14207">
            <w:pPr>
              <w:rPr>
                <w:lang w:val="fr-BE"/>
              </w:rPr>
            </w:pPr>
            <w:r>
              <w:rPr>
                <w:lang w:val="fr-BE"/>
              </w:rPr>
              <w:t>Ossature </w:t>
            </w:r>
            <w:r w:rsidR="002D735D">
              <w:rPr>
                <w:lang w:val="fr-BE"/>
              </w:rPr>
              <w:t>pour cloison vitrée, comprenant</w:t>
            </w:r>
            <w:r w:rsidR="005F67FA">
              <w:rPr>
                <w:lang w:val="fr-BE"/>
              </w:rPr>
              <w:t xml:space="preserve"> </w:t>
            </w:r>
            <w:r>
              <w:rPr>
                <w:lang w:val="fr-BE"/>
              </w:rPr>
              <w:t>:</w:t>
            </w:r>
          </w:p>
          <w:p w:rsidR="00F165BC" w:rsidRDefault="00F165BC" w:rsidP="00F165BC">
            <w:pPr>
              <w:pStyle w:val="ListParagraph"/>
              <w:numPr>
                <w:ilvl w:val="0"/>
                <w:numId w:val="4"/>
              </w:numPr>
              <w:rPr>
                <w:rFonts w:ascii="Calibri" w:hAnsi="Calibri"/>
                <w:color w:val="000000"/>
                <w:lang w:val="fr-BE" w:eastAsia="fr-BE"/>
              </w:rPr>
            </w:pPr>
            <w:r>
              <w:rPr>
                <w:rFonts w:ascii="Calibri" w:hAnsi="Calibri"/>
                <w:color w:val="000000"/>
                <w:lang w:val="fr-BE" w:eastAsia="fr-BE"/>
              </w:rPr>
              <w:t>Lisses hautes, basses et départ mur</w:t>
            </w:r>
          </w:p>
          <w:p w:rsidR="00F165BC" w:rsidRDefault="00913951" w:rsidP="00F165BC">
            <w:pPr>
              <w:pStyle w:val="ListParagraph"/>
              <w:numPr>
                <w:ilvl w:val="0"/>
                <w:numId w:val="4"/>
              </w:numPr>
              <w:rPr>
                <w:rFonts w:ascii="Calibri" w:hAnsi="Calibri"/>
                <w:color w:val="000000"/>
                <w:lang w:val="fr-BE" w:eastAsia="fr-BE"/>
              </w:rPr>
            </w:pPr>
            <w:r>
              <w:rPr>
                <w:rFonts w:ascii="Calibri" w:hAnsi="Calibri"/>
                <w:color w:val="000000"/>
                <w:lang w:val="fr-BE" w:eastAsia="fr-BE"/>
              </w:rPr>
              <w:t>Traverses intermédiaires</w:t>
            </w:r>
          </w:p>
          <w:p w:rsidR="00F165BC" w:rsidRDefault="00F165BC" w:rsidP="00F165BC">
            <w:pPr>
              <w:pStyle w:val="ListParagraph"/>
              <w:numPr>
                <w:ilvl w:val="0"/>
                <w:numId w:val="4"/>
              </w:numPr>
              <w:rPr>
                <w:rFonts w:ascii="Calibri" w:hAnsi="Calibri"/>
                <w:color w:val="000000"/>
                <w:lang w:val="fr-BE" w:eastAsia="fr-BE"/>
              </w:rPr>
            </w:pPr>
            <w:r>
              <w:rPr>
                <w:rFonts w:ascii="Calibri" w:hAnsi="Calibri"/>
                <w:color w:val="000000"/>
                <w:lang w:val="fr-BE" w:eastAsia="fr-BE"/>
              </w:rPr>
              <w:t>Montants standards</w:t>
            </w:r>
          </w:p>
          <w:p w:rsidR="00F165BC" w:rsidRPr="00F165BC" w:rsidRDefault="00F165BC" w:rsidP="00F165BC">
            <w:pPr>
              <w:pStyle w:val="ListParagraph"/>
              <w:numPr>
                <w:ilvl w:val="0"/>
                <w:numId w:val="4"/>
              </w:numPr>
              <w:rPr>
                <w:rFonts w:ascii="Calibri" w:hAnsi="Calibri"/>
                <w:color w:val="000000"/>
                <w:lang w:val="fr-BE" w:eastAsia="fr-BE"/>
              </w:rPr>
            </w:pPr>
            <w:r>
              <w:rPr>
                <w:rFonts w:ascii="Calibri" w:hAnsi="Calibri"/>
                <w:color w:val="000000"/>
                <w:lang w:val="fr-BE" w:eastAsia="fr-BE"/>
              </w:rPr>
              <w:t>Couvres joint</w:t>
            </w:r>
          </w:p>
        </w:tc>
        <w:tc>
          <w:tcPr>
            <w:tcW w:w="851" w:type="dxa"/>
            <w:tcBorders>
              <w:top w:val="nil"/>
              <w:left w:val="nil"/>
              <w:bottom w:val="single" w:sz="4" w:space="0" w:color="auto"/>
              <w:right w:val="single" w:sz="4" w:space="0" w:color="auto"/>
            </w:tcBorders>
            <w:shd w:val="clear" w:color="000000" w:fill="DCE6F1"/>
            <w:vAlign w:val="center"/>
            <w:hideMark/>
          </w:tcPr>
          <w:p w:rsidR="00947D09" w:rsidRDefault="00947D09" w:rsidP="00F03EFA">
            <w:pPr>
              <w:rPr>
                <w:rFonts w:ascii="Calibri" w:hAnsi="Calibri"/>
                <w:color w:val="000000"/>
                <w:sz w:val="22"/>
                <w:szCs w:val="22"/>
                <w:lang w:val="fr-BE" w:eastAsia="fr-BE"/>
              </w:rPr>
            </w:pPr>
          </w:p>
          <w:p w:rsidR="00947D09" w:rsidRPr="00A14207" w:rsidRDefault="00171929" w:rsidP="00947D09">
            <w:pPr>
              <w:jc w:val="center"/>
              <w:rPr>
                <w:rFonts w:ascii="Calibri" w:hAnsi="Calibri"/>
                <w:color w:val="000000"/>
                <w:sz w:val="22"/>
                <w:szCs w:val="22"/>
                <w:lang w:val="fr-BE" w:eastAsia="fr-BE"/>
              </w:rPr>
            </w:pPr>
            <w:r>
              <w:rPr>
                <w:rFonts w:ascii="Calibri" w:hAnsi="Calibri"/>
                <w:color w:val="000000"/>
                <w:sz w:val="22"/>
                <w:szCs w:val="22"/>
                <w:lang w:val="fr-BE" w:eastAsia="fr-BE"/>
              </w:rPr>
              <w:t>1</w:t>
            </w:r>
          </w:p>
        </w:tc>
        <w:tc>
          <w:tcPr>
            <w:tcW w:w="1278" w:type="dxa"/>
            <w:tcBorders>
              <w:top w:val="nil"/>
              <w:left w:val="nil"/>
              <w:bottom w:val="single" w:sz="4" w:space="0" w:color="auto"/>
              <w:right w:val="single" w:sz="4" w:space="0" w:color="auto"/>
            </w:tcBorders>
            <w:shd w:val="clear" w:color="000000" w:fill="FDE9D9"/>
            <w:noWrap/>
            <w:vAlign w:val="center"/>
            <w:hideMark/>
          </w:tcPr>
          <w:p w:rsidR="00F03EFA" w:rsidRDefault="00F03EFA" w:rsidP="00872805">
            <w:pPr>
              <w:jc w:val="center"/>
              <w:rPr>
                <w:rFonts w:ascii="Calibri" w:hAnsi="Calibri"/>
                <w:color w:val="000000"/>
                <w:sz w:val="22"/>
                <w:szCs w:val="22"/>
                <w:lang w:eastAsia="fr-BE"/>
              </w:rPr>
            </w:pPr>
            <w:bookmarkStart w:id="1" w:name="RANGE!F7"/>
          </w:p>
          <w:p w:rsidR="007B7838" w:rsidRDefault="007B7838" w:rsidP="00872805">
            <w:pPr>
              <w:jc w:val="center"/>
              <w:rPr>
                <w:rFonts w:ascii="Calibri" w:hAnsi="Calibri"/>
                <w:color w:val="000000"/>
                <w:sz w:val="22"/>
                <w:szCs w:val="22"/>
                <w:lang w:eastAsia="fr-BE"/>
              </w:rPr>
            </w:pPr>
            <w:r>
              <w:rPr>
                <w:rFonts w:ascii="Calibri" w:hAnsi="Calibri"/>
                <w:color w:val="000000"/>
                <w:sz w:val="22"/>
                <w:szCs w:val="22"/>
                <w:lang w:eastAsia="fr-BE"/>
              </w:rPr>
              <w:t>…………..</w:t>
            </w:r>
            <w:r w:rsidRPr="00A14207">
              <w:rPr>
                <w:rFonts w:ascii="Calibri" w:hAnsi="Calibri"/>
                <w:color w:val="000000"/>
                <w:sz w:val="22"/>
                <w:szCs w:val="22"/>
                <w:lang w:eastAsia="fr-BE"/>
              </w:rPr>
              <w:t xml:space="preserve"> €</w:t>
            </w:r>
            <w:bookmarkEnd w:id="1"/>
          </w:p>
          <w:p w:rsidR="00F03EFA" w:rsidRPr="00A14207" w:rsidRDefault="00F03EFA" w:rsidP="00F03EFA">
            <w:pPr>
              <w:jc w:val="center"/>
              <w:rPr>
                <w:rFonts w:ascii="Calibri" w:hAnsi="Calibri"/>
                <w:color w:val="000000"/>
                <w:sz w:val="22"/>
                <w:szCs w:val="22"/>
                <w:lang w:eastAsia="fr-BE"/>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7838" w:rsidRPr="00A14207" w:rsidRDefault="007B7838" w:rsidP="00872805">
            <w:pPr>
              <w:jc w:val="center"/>
              <w:rPr>
                <w:rFonts w:ascii="Arial" w:hAnsi="Arial" w:cs="Arial"/>
                <w:sz w:val="20"/>
                <w:lang w:eastAsia="fr-BE"/>
              </w:rPr>
            </w:pPr>
            <w:r>
              <w:rPr>
                <w:rFonts w:ascii="Arial" w:hAnsi="Arial" w:cs="Arial"/>
                <w:sz w:val="20"/>
                <w:lang w:eastAsia="fr-BE"/>
              </w:rPr>
              <w:t>………</w:t>
            </w:r>
            <w:r w:rsidRPr="00A14207">
              <w:rPr>
                <w:rFonts w:ascii="Arial" w:hAnsi="Arial" w:cs="Arial"/>
                <w:sz w:val="20"/>
                <w:lang w:eastAsia="fr-BE"/>
              </w:rPr>
              <w:t>%</w:t>
            </w:r>
          </w:p>
        </w:tc>
        <w:tc>
          <w:tcPr>
            <w:tcW w:w="1559" w:type="dxa"/>
            <w:tcBorders>
              <w:top w:val="nil"/>
              <w:left w:val="nil"/>
              <w:bottom w:val="single" w:sz="4" w:space="0" w:color="auto"/>
              <w:right w:val="single" w:sz="4" w:space="0" w:color="auto"/>
            </w:tcBorders>
            <w:shd w:val="clear" w:color="auto" w:fill="auto"/>
            <w:noWrap/>
            <w:vAlign w:val="center"/>
            <w:hideMark/>
          </w:tcPr>
          <w:p w:rsidR="007B7838" w:rsidRPr="00A14207" w:rsidRDefault="007B7838" w:rsidP="00A14207">
            <w:pPr>
              <w:rPr>
                <w:rFonts w:ascii="Calibri" w:hAnsi="Calibri"/>
                <w:color w:val="000000"/>
                <w:sz w:val="22"/>
                <w:szCs w:val="22"/>
                <w:lang w:eastAsia="fr-BE"/>
              </w:rPr>
            </w:pPr>
            <w:r>
              <w:rPr>
                <w:rFonts w:ascii="Calibri" w:hAnsi="Calibri"/>
                <w:color w:val="000000"/>
                <w:sz w:val="22"/>
                <w:szCs w:val="22"/>
                <w:lang w:eastAsia="fr-BE"/>
              </w:rPr>
              <w:t>……………………</w:t>
            </w:r>
            <w:r w:rsidRPr="00A14207">
              <w:rPr>
                <w:rFonts w:ascii="Calibri" w:hAnsi="Calibri"/>
                <w:color w:val="000000"/>
                <w:sz w:val="22"/>
                <w:szCs w:val="22"/>
                <w:lang w:eastAsia="fr-BE"/>
              </w:rPr>
              <w:t xml:space="preserve">€ </w:t>
            </w:r>
          </w:p>
        </w:tc>
      </w:tr>
      <w:tr w:rsidR="007B7838" w:rsidRPr="00A14207" w:rsidTr="001844C2">
        <w:trPr>
          <w:trHeight w:val="786"/>
        </w:trPr>
        <w:tc>
          <w:tcPr>
            <w:tcW w:w="4686" w:type="dxa"/>
            <w:tcBorders>
              <w:top w:val="nil"/>
              <w:left w:val="single" w:sz="4" w:space="0" w:color="auto"/>
              <w:bottom w:val="single" w:sz="4" w:space="0" w:color="auto"/>
              <w:right w:val="single" w:sz="4" w:space="0" w:color="auto"/>
            </w:tcBorders>
            <w:shd w:val="clear" w:color="000000" w:fill="DCE6F1"/>
            <w:noWrap/>
            <w:vAlign w:val="center"/>
          </w:tcPr>
          <w:p w:rsidR="007B7838" w:rsidRDefault="008C6963" w:rsidP="00C62617">
            <w:pPr>
              <w:rPr>
                <w:rFonts w:ascii="Calibri" w:hAnsi="Calibri"/>
                <w:color w:val="000000"/>
                <w:sz w:val="22"/>
                <w:szCs w:val="22"/>
                <w:lang w:eastAsia="fr-BE"/>
              </w:rPr>
            </w:pPr>
            <w:proofErr w:type="spellStart"/>
            <w:proofErr w:type="gramStart"/>
            <w:r>
              <w:rPr>
                <w:rFonts w:ascii="Calibri" w:hAnsi="Calibri"/>
                <w:color w:val="000000"/>
                <w:sz w:val="22"/>
                <w:szCs w:val="22"/>
                <w:lang w:eastAsia="fr-BE"/>
              </w:rPr>
              <w:t>Remplissage</w:t>
            </w:r>
            <w:proofErr w:type="spellEnd"/>
            <w:r>
              <w:rPr>
                <w:rFonts w:ascii="Calibri" w:hAnsi="Calibri"/>
                <w:color w:val="000000"/>
                <w:sz w:val="22"/>
                <w:szCs w:val="22"/>
                <w:lang w:eastAsia="fr-BE"/>
              </w:rPr>
              <w:t xml:space="preserve"> </w:t>
            </w:r>
            <w:r w:rsidR="002D735D">
              <w:rPr>
                <w:rFonts w:ascii="Calibri" w:hAnsi="Calibri"/>
                <w:color w:val="000000"/>
                <w:sz w:val="22"/>
                <w:szCs w:val="22"/>
                <w:lang w:eastAsia="fr-BE"/>
              </w:rPr>
              <w:t xml:space="preserve"> </w:t>
            </w:r>
            <w:proofErr w:type="spellStart"/>
            <w:r w:rsidR="002D735D">
              <w:rPr>
                <w:rFonts w:ascii="Calibri" w:hAnsi="Calibri"/>
                <w:color w:val="000000"/>
                <w:sz w:val="22"/>
                <w:szCs w:val="22"/>
                <w:lang w:eastAsia="fr-BE"/>
              </w:rPr>
              <w:t>vitrée</w:t>
            </w:r>
            <w:proofErr w:type="spellEnd"/>
            <w:proofErr w:type="gramEnd"/>
            <w:r w:rsidR="002D735D">
              <w:rPr>
                <w:rFonts w:ascii="Calibri" w:hAnsi="Calibri"/>
                <w:color w:val="000000"/>
                <w:sz w:val="22"/>
                <w:szCs w:val="22"/>
                <w:lang w:eastAsia="fr-BE"/>
              </w:rPr>
              <w:t xml:space="preserve"> </w:t>
            </w:r>
            <w:r>
              <w:rPr>
                <w:rFonts w:ascii="Calibri" w:hAnsi="Calibri"/>
                <w:color w:val="000000"/>
                <w:sz w:val="22"/>
                <w:szCs w:val="22"/>
                <w:lang w:eastAsia="fr-BE"/>
              </w:rPr>
              <w:t>:</w:t>
            </w:r>
          </w:p>
          <w:p w:rsidR="008C6963" w:rsidRPr="008C6963" w:rsidRDefault="002D735D" w:rsidP="008C6963">
            <w:pPr>
              <w:pStyle w:val="ListParagraph"/>
              <w:numPr>
                <w:ilvl w:val="0"/>
                <w:numId w:val="4"/>
              </w:numPr>
              <w:rPr>
                <w:rFonts w:ascii="Calibri" w:hAnsi="Calibri"/>
                <w:color w:val="000000"/>
                <w:lang w:eastAsia="fr-BE"/>
              </w:rPr>
            </w:pPr>
            <w:r>
              <w:rPr>
                <w:rFonts w:ascii="Calibri" w:hAnsi="Calibri"/>
                <w:color w:val="000000"/>
                <w:lang w:val="fr-BE" w:eastAsia="fr-BE"/>
              </w:rPr>
              <w:t>Vitre transparente, double vitrage</w:t>
            </w:r>
            <w:r w:rsidR="00913951">
              <w:rPr>
                <w:rFonts w:ascii="Calibri" w:hAnsi="Calibri"/>
                <w:color w:val="000000"/>
                <w:lang w:val="fr-BE" w:eastAsia="fr-BE"/>
              </w:rPr>
              <w:t xml:space="preserve"> </w:t>
            </w:r>
            <w:r>
              <w:rPr>
                <w:rFonts w:ascii="Calibri" w:hAnsi="Calibri"/>
                <w:color w:val="000000"/>
                <w:lang w:val="fr-BE" w:eastAsia="fr-BE"/>
              </w:rPr>
              <w:t>6+8mm</w:t>
            </w:r>
          </w:p>
        </w:tc>
        <w:tc>
          <w:tcPr>
            <w:tcW w:w="851" w:type="dxa"/>
            <w:tcBorders>
              <w:top w:val="nil"/>
              <w:left w:val="nil"/>
              <w:bottom w:val="single" w:sz="4" w:space="0" w:color="auto"/>
              <w:right w:val="single" w:sz="4" w:space="0" w:color="auto"/>
            </w:tcBorders>
            <w:shd w:val="clear" w:color="000000" w:fill="DCE6F1"/>
            <w:vAlign w:val="center"/>
            <w:hideMark/>
          </w:tcPr>
          <w:p w:rsidR="00947D09" w:rsidRPr="008C6963" w:rsidRDefault="00171929" w:rsidP="00872805">
            <w:pPr>
              <w:jc w:val="center"/>
              <w:rPr>
                <w:rFonts w:ascii="Calibri" w:hAnsi="Calibri"/>
                <w:color w:val="000000"/>
                <w:sz w:val="22"/>
                <w:szCs w:val="22"/>
                <w:lang w:val="fr-BE" w:eastAsia="fr-BE"/>
              </w:rPr>
            </w:pPr>
            <w:r>
              <w:rPr>
                <w:rFonts w:ascii="Calibri" w:hAnsi="Calibri"/>
                <w:color w:val="000000"/>
                <w:sz w:val="22"/>
                <w:szCs w:val="22"/>
                <w:lang w:val="fr-BE" w:eastAsia="fr-BE"/>
              </w:rPr>
              <w:t>1</w:t>
            </w:r>
          </w:p>
        </w:tc>
        <w:tc>
          <w:tcPr>
            <w:tcW w:w="1278" w:type="dxa"/>
            <w:tcBorders>
              <w:top w:val="nil"/>
              <w:left w:val="nil"/>
              <w:bottom w:val="single" w:sz="4" w:space="0" w:color="auto"/>
              <w:right w:val="single" w:sz="4" w:space="0" w:color="auto"/>
            </w:tcBorders>
            <w:shd w:val="clear" w:color="000000" w:fill="FDE9D9"/>
            <w:noWrap/>
            <w:vAlign w:val="center"/>
            <w:hideMark/>
          </w:tcPr>
          <w:p w:rsidR="00F03EFA" w:rsidRPr="00A14207" w:rsidRDefault="007B7838" w:rsidP="002D735D">
            <w:pPr>
              <w:jc w:val="center"/>
              <w:rPr>
                <w:rFonts w:ascii="Calibri" w:hAnsi="Calibri"/>
                <w:color w:val="000000"/>
                <w:sz w:val="22"/>
                <w:szCs w:val="22"/>
                <w:lang w:val="fr-BE" w:eastAsia="fr-BE"/>
              </w:rPr>
            </w:pPr>
            <w:r>
              <w:rPr>
                <w:rFonts w:ascii="Calibri" w:hAnsi="Calibri"/>
                <w:color w:val="000000"/>
                <w:sz w:val="22"/>
                <w:szCs w:val="22"/>
                <w:lang w:val="fr-BE" w:eastAsia="fr-BE"/>
              </w:rPr>
              <w:t>…………….</w:t>
            </w:r>
            <w:r w:rsidRPr="00A14207">
              <w:rPr>
                <w:rFonts w:ascii="Calibri" w:hAnsi="Calibri"/>
                <w:color w:val="000000"/>
                <w:sz w:val="22"/>
                <w:szCs w:val="22"/>
                <w:lang w:val="fr-BE" w:eastAsia="fr-BE"/>
              </w:rPr>
              <w:t>€</w:t>
            </w:r>
          </w:p>
        </w:tc>
        <w:tc>
          <w:tcPr>
            <w:tcW w:w="1134" w:type="dxa"/>
            <w:tcBorders>
              <w:top w:val="nil"/>
              <w:left w:val="nil"/>
              <w:bottom w:val="single" w:sz="4" w:space="0" w:color="auto"/>
              <w:right w:val="single" w:sz="4" w:space="0" w:color="auto"/>
            </w:tcBorders>
            <w:shd w:val="clear" w:color="auto" w:fill="auto"/>
            <w:noWrap/>
            <w:vAlign w:val="center"/>
            <w:hideMark/>
          </w:tcPr>
          <w:p w:rsidR="007B7838" w:rsidRPr="00A14207" w:rsidRDefault="007B7838" w:rsidP="00872805">
            <w:pPr>
              <w:jc w:val="center"/>
              <w:rPr>
                <w:rFonts w:ascii="Arial" w:hAnsi="Arial" w:cs="Arial"/>
                <w:sz w:val="20"/>
                <w:lang w:val="fr-BE" w:eastAsia="fr-BE"/>
              </w:rPr>
            </w:pPr>
            <w:r>
              <w:rPr>
                <w:rFonts w:ascii="Arial" w:hAnsi="Arial" w:cs="Arial"/>
                <w:sz w:val="20"/>
                <w:lang w:val="fr-BE" w:eastAsia="fr-BE"/>
              </w:rPr>
              <w:t>……….</w:t>
            </w:r>
            <w:r w:rsidRPr="00A14207">
              <w:rPr>
                <w:rFonts w:ascii="Arial" w:hAnsi="Arial" w:cs="Arial"/>
                <w:sz w:val="20"/>
                <w:lang w:val="fr-BE" w:eastAsia="fr-BE"/>
              </w:rPr>
              <w:t>%</w:t>
            </w:r>
          </w:p>
        </w:tc>
        <w:tc>
          <w:tcPr>
            <w:tcW w:w="1559" w:type="dxa"/>
            <w:tcBorders>
              <w:top w:val="nil"/>
              <w:left w:val="nil"/>
              <w:bottom w:val="single" w:sz="4" w:space="0" w:color="auto"/>
              <w:right w:val="single" w:sz="4" w:space="0" w:color="auto"/>
            </w:tcBorders>
            <w:shd w:val="clear" w:color="auto" w:fill="auto"/>
            <w:noWrap/>
            <w:vAlign w:val="center"/>
            <w:hideMark/>
          </w:tcPr>
          <w:p w:rsidR="007B7838" w:rsidRPr="00A14207" w:rsidRDefault="007B7838" w:rsidP="00A14207">
            <w:pPr>
              <w:rPr>
                <w:rFonts w:ascii="Calibri" w:hAnsi="Calibri"/>
                <w:color w:val="000000"/>
                <w:sz w:val="22"/>
                <w:szCs w:val="22"/>
                <w:lang w:val="fr-BE" w:eastAsia="fr-BE"/>
              </w:rPr>
            </w:pPr>
            <w:r>
              <w:rPr>
                <w:rFonts w:ascii="Calibri" w:hAnsi="Calibri"/>
                <w:color w:val="000000"/>
                <w:sz w:val="22"/>
                <w:szCs w:val="22"/>
                <w:lang w:val="fr-BE" w:eastAsia="fr-BE"/>
              </w:rPr>
              <w:t>………………….</w:t>
            </w:r>
            <w:r w:rsidRPr="00A14207">
              <w:rPr>
                <w:rFonts w:ascii="Calibri" w:hAnsi="Calibri"/>
                <w:color w:val="000000"/>
                <w:sz w:val="22"/>
                <w:szCs w:val="22"/>
                <w:lang w:val="fr-BE" w:eastAsia="fr-BE"/>
              </w:rPr>
              <w:t xml:space="preserve">   € </w:t>
            </w:r>
          </w:p>
        </w:tc>
      </w:tr>
      <w:tr w:rsidR="007B7838" w:rsidRPr="00A14207" w:rsidTr="0078470F">
        <w:trPr>
          <w:trHeight w:val="341"/>
        </w:trPr>
        <w:tc>
          <w:tcPr>
            <w:tcW w:w="4686" w:type="dxa"/>
            <w:tcBorders>
              <w:top w:val="single" w:sz="4" w:space="0" w:color="auto"/>
              <w:left w:val="single" w:sz="4" w:space="0" w:color="auto"/>
              <w:bottom w:val="single" w:sz="4" w:space="0" w:color="auto"/>
              <w:right w:val="single" w:sz="4" w:space="0" w:color="auto"/>
            </w:tcBorders>
            <w:shd w:val="clear" w:color="000000" w:fill="DCE6F1"/>
            <w:noWrap/>
            <w:vAlign w:val="center"/>
          </w:tcPr>
          <w:p w:rsidR="007B7838" w:rsidRDefault="007B7838" w:rsidP="008C6963">
            <w:pPr>
              <w:rPr>
                <w:rFonts w:ascii="Calibri" w:hAnsi="Calibri"/>
                <w:color w:val="000000"/>
                <w:sz w:val="22"/>
                <w:szCs w:val="22"/>
                <w:lang w:val="fr-BE" w:eastAsia="fr-BE"/>
              </w:rPr>
            </w:pPr>
            <w:r>
              <w:rPr>
                <w:rFonts w:ascii="Calibri" w:hAnsi="Calibri"/>
                <w:color w:val="000000"/>
                <w:sz w:val="22"/>
                <w:szCs w:val="22"/>
                <w:lang w:val="fr-BE" w:eastAsia="fr-BE"/>
              </w:rPr>
              <w:t>Porte</w:t>
            </w:r>
            <w:r w:rsidR="008C6963">
              <w:rPr>
                <w:rFonts w:ascii="Calibri" w:hAnsi="Calibri"/>
                <w:color w:val="000000"/>
                <w:sz w:val="22"/>
                <w:szCs w:val="22"/>
                <w:lang w:val="fr-BE" w:eastAsia="fr-BE"/>
              </w:rPr>
              <w:t> :</w:t>
            </w:r>
          </w:p>
          <w:p w:rsidR="008C6963" w:rsidRPr="008C6963" w:rsidRDefault="008C6963" w:rsidP="002D735D">
            <w:pPr>
              <w:pStyle w:val="ListParagraph"/>
              <w:numPr>
                <w:ilvl w:val="0"/>
                <w:numId w:val="4"/>
              </w:numPr>
              <w:rPr>
                <w:rFonts w:ascii="Calibri" w:hAnsi="Calibri"/>
                <w:color w:val="000000"/>
                <w:lang w:val="fr-BE" w:eastAsia="fr-BE"/>
              </w:rPr>
            </w:pPr>
            <w:r>
              <w:rPr>
                <w:rFonts w:ascii="Calibri" w:hAnsi="Calibri"/>
                <w:color w:val="000000"/>
                <w:lang w:val="fr-BE" w:eastAsia="fr-BE"/>
              </w:rPr>
              <w:t>Porte à simple action, à un vantail, constituée d’un verre trempé</w:t>
            </w:r>
            <w:r w:rsidR="002D735D">
              <w:rPr>
                <w:rFonts w:ascii="Calibri" w:hAnsi="Calibri"/>
                <w:color w:val="000000"/>
                <w:lang w:val="fr-BE" w:eastAsia="fr-BE"/>
              </w:rPr>
              <w:t xml:space="preserve">, </w:t>
            </w:r>
            <w:r>
              <w:rPr>
                <w:rFonts w:ascii="Calibri" w:hAnsi="Calibri"/>
                <w:color w:val="000000"/>
                <w:lang w:val="fr-BE" w:eastAsia="fr-BE"/>
              </w:rPr>
              <w:t>compris huisserie et quincaillerie</w:t>
            </w:r>
          </w:p>
        </w:tc>
        <w:tc>
          <w:tcPr>
            <w:tcW w:w="851" w:type="dxa"/>
            <w:tcBorders>
              <w:top w:val="single" w:sz="4" w:space="0" w:color="auto"/>
              <w:left w:val="nil"/>
              <w:bottom w:val="single" w:sz="4" w:space="0" w:color="auto"/>
              <w:right w:val="single" w:sz="4" w:space="0" w:color="auto"/>
            </w:tcBorders>
            <w:shd w:val="clear" w:color="000000" w:fill="DCE6F1"/>
            <w:vAlign w:val="center"/>
          </w:tcPr>
          <w:p w:rsidR="007B7838" w:rsidRDefault="007B7838" w:rsidP="00872805">
            <w:pPr>
              <w:jc w:val="center"/>
              <w:rPr>
                <w:rFonts w:ascii="Calibri" w:hAnsi="Calibri"/>
                <w:color w:val="000000"/>
                <w:sz w:val="22"/>
                <w:szCs w:val="22"/>
                <w:lang w:val="fr-BE" w:eastAsia="fr-BE"/>
              </w:rPr>
            </w:pPr>
          </w:p>
          <w:p w:rsidR="00947D09" w:rsidRDefault="00947D09" w:rsidP="00872805">
            <w:pPr>
              <w:jc w:val="center"/>
              <w:rPr>
                <w:rFonts w:ascii="Calibri" w:hAnsi="Calibri"/>
                <w:color w:val="000000"/>
                <w:sz w:val="22"/>
                <w:szCs w:val="22"/>
                <w:lang w:val="fr-BE" w:eastAsia="fr-BE"/>
              </w:rPr>
            </w:pPr>
          </w:p>
          <w:p w:rsidR="00947D09" w:rsidRDefault="002D735D" w:rsidP="00872805">
            <w:pPr>
              <w:jc w:val="center"/>
              <w:rPr>
                <w:rFonts w:ascii="Calibri" w:hAnsi="Calibri"/>
                <w:color w:val="000000"/>
                <w:sz w:val="22"/>
                <w:szCs w:val="22"/>
                <w:lang w:val="fr-BE" w:eastAsia="fr-BE"/>
              </w:rPr>
            </w:pPr>
            <w:r>
              <w:rPr>
                <w:rFonts w:ascii="Calibri" w:hAnsi="Calibri"/>
                <w:color w:val="000000"/>
                <w:sz w:val="22"/>
                <w:szCs w:val="22"/>
                <w:lang w:val="fr-BE" w:eastAsia="fr-BE"/>
              </w:rPr>
              <w:t>1</w:t>
            </w:r>
          </w:p>
          <w:p w:rsidR="00947D09" w:rsidRDefault="00947D09" w:rsidP="00872805">
            <w:pPr>
              <w:jc w:val="center"/>
              <w:rPr>
                <w:rFonts w:ascii="Calibri" w:hAnsi="Calibri"/>
                <w:color w:val="000000"/>
                <w:sz w:val="22"/>
                <w:szCs w:val="22"/>
                <w:lang w:val="fr-BE" w:eastAsia="fr-BE"/>
              </w:rPr>
            </w:pPr>
          </w:p>
          <w:p w:rsidR="00947D09" w:rsidRPr="00A14207" w:rsidRDefault="00947D09" w:rsidP="00872805">
            <w:pPr>
              <w:jc w:val="center"/>
              <w:rPr>
                <w:rFonts w:ascii="Calibri" w:hAnsi="Calibri"/>
                <w:color w:val="000000"/>
                <w:sz w:val="22"/>
                <w:szCs w:val="22"/>
                <w:lang w:eastAsia="fr-BE"/>
              </w:rPr>
            </w:pPr>
          </w:p>
        </w:tc>
        <w:tc>
          <w:tcPr>
            <w:tcW w:w="1278" w:type="dxa"/>
            <w:tcBorders>
              <w:top w:val="single" w:sz="4" w:space="0" w:color="auto"/>
              <w:left w:val="nil"/>
              <w:bottom w:val="single" w:sz="4" w:space="0" w:color="auto"/>
              <w:right w:val="single" w:sz="4" w:space="0" w:color="auto"/>
            </w:tcBorders>
            <w:shd w:val="clear" w:color="000000" w:fill="FDE9D9"/>
            <w:noWrap/>
            <w:vAlign w:val="center"/>
          </w:tcPr>
          <w:p w:rsidR="00F03EFA" w:rsidRPr="00F03EFA" w:rsidRDefault="00F03EFA" w:rsidP="00F03EFA">
            <w:pPr>
              <w:jc w:val="center"/>
              <w:rPr>
                <w:rFonts w:ascii="Calibri" w:hAnsi="Calibri"/>
                <w:color w:val="000000"/>
                <w:sz w:val="22"/>
                <w:szCs w:val="22"/>
                <w:lang w:eastAsia="fr-BE"/>
              </w:rPr>
            </w:pPr>
            <w:r>
              <w:rPr>
                <w:rFonts w:ascii="Calibri" w:hAnsi="Calibri"/>
                <w:color w:val="000000"/>
                <w:sz w:val="22"/>
                <w:szCs w:val="22"/>
                <w:lang w:eastAsia="fr-BE"/>
              </w:rPr>
              <w:t>…………..</w:t>
            </w:r>
            <w:r w:rsidRPr="00A14207">
              <w:rPr>
                <w:rFonts w:ascii="Calibri" w:hAnsi="Calibri"/>
                <w:color w:val="000000"/>
                <w:sz w:val="22"/>
                <w:szCs w:val="22"/>
                <w:lang w:eastAsia="fr-BE"/>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838" w:rsidRPr="00A14207" w:rsidRDefault="007B7838" w:rsidP="00872805">
            <w:pPr>
              <w:jc w:val="center"/>
              <w:rPr>
                <w:rFonts w:ascii="Arial" w:hAnsi="Arial" w:cs="Arial"/>
                <w:sz w:val="20"/>
                <w:lang w:val="fr-BE" w:eastAsia="fr-BE"/>
              </w:rPr>
            </w:pPr>
            <w:r>
              <w:rPr>
                <w:rFonts w:ascii="Arial" w:hAnsi="Arial" w:cs="Arial"/>
                <w:sz w:val="20"/>
                <w:lang w:val="fr-BE" w:eastAsia="fr-BE"/>
              </w:rPr>
              <w:t>……….</w:t>
            </w:r>
            <w:r w:rsidRPr="00A14207">
              <w:rPr>
                <w:rFonts w:ascii="Arial" w:hAnsi="Arial" w:cs="Arial"/>
                <w:sz w:val="20"/>
                <w:lang w:val="fr-BE" w:eastAsia="fr-BE"/>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B7838" w:rsidRPr="00A14207" w:rsidRDefault="007B7838" w:rsidP="009C1D8F">
            <w:pPr>
              <w:rPr>
                <w:rFonts w:ascii="Calibri" w:hAnsi="Calibri"/>
                <w:color w:val="000000"/>
                <w:sz w:val="22"/>
                <w:szCs w:val="22"/>
                <w:lang w:val="fr-BE" w:eastAsia="fr-BE"/>
              </w:rPr>
            </w:pPr>
            <w:r>
              <w:rPr>
                <w:rFonts w:ascii="Calibri" w:hAnsi="Calibri"/>
                <w:color w:val="000000"/>
                <w:sz w:val="22"/>
                <w:szCs w:val="22"/>
                <w:lang w:val="fr-BE" w:eastAsia="fr-BE"/>
              </w:rPr>
              <w:t>………………….</w:t>
            </w:r>
            <w:r w:rsidRPr="00A14207">
              <w:rPr>
                <w:rFonts w:ascii="Calibri" w:hAnsi="Calibri"/>
                <w:color w:val="000000"/>
                <w:sz w:val="22"/>
                <w:szCs w:val="22"/>
                <w:lang w:val="fr-BE" w:eastAsia="fr-BE"/>
              </w:rPr>
              <w:t xml:space="preserve">   € </w:t>
            </w:r>
          </w:p>
        </w:tc>
      </w:tr>
      <w:tr w:rsidR="007B7838" w:rsidRPr="00A14207" w:rsidTr="006B57D1">
        <w:trPr>
          <w:trHeight w:val="432"/>
        </w:trPr>
        <w:tc>
          <w:tcPr>
            <w:tcW w:w="4686" w:type="dxa"/>
            <w:tcBorders>
              <w:top w:val="nil"/>
              <w:left w:val="single" w:sz="4" w:space="0" w:color="auto"/>
              <w:bottom w:val="single" w:sz="4" w:space="0" w:color="auto"/>
              <w:right w:val="single" w:sz="4" w:space="0" w:color="auto"/>
            </w:tcBorders>
            <w:shd w:val="clear" w:color="000000" w:fill="DCE6F1"/>
            <w:noWrap/>
            <w:vAlign w:val="center"/>
          </w:tcPr>
          <w:p w:rsidR="00171929" w:rsidRDefault="00171929" w:rsidP="00506C36">
            <w:pPr>
              <w:rPr>
                <w:rFonts w:ascii="Calibri" w:hAnsi="Calibri"/>
                <w:color w:val="000000"/>
                <w:sz w:val="22"/>
                <w:szCs w:val="22"/>
                <w:lang w:val="fr-BE" w:eastAsia="fr-BE"/>
              </w:rPr>
            </w:pPr>
            <w:r>
              <w:rPr>
                <w:rFonts w:ascii="Calibri" w:hAnsi="Calibri"/>
                <w:color w:val="000000"/>
                <w:sz w:val="22"/>
                <w:szCs w:val="22"/>
                <w:lang w:val="fr-BE" w:eastAsia="fr-BE"/>
              </w:rPr>
              <w:t xml:space="preserve">Forfait service d’installation </w:t>
            </w:r>
          </w:p>
          <w:p w:rsidR="007B7838" w:rsidRPr="000D36FF" w:rsidRDefault="00171929" w:rsidP="00506C36">
            <w:pPr>
              <w:rPr>
                <w:rFonts w:ascii="Calibri" w:hAnsi="Calibri"/>
                <w:color w:val="000000"/>
                <w:sz w:val="22"/>
                <w:szCs w:val="22"/>
                <w:lang w:val="fr-BE" w:eastAsia="fr-BE"/>
              </w:rPr>
            </w:pPr>
            <w:r>
              <w:rPr>
                <w:rFonts w:ascii="Calibri" w:hAnsi="Calibri"/>
                <w:color w:val="000000"/>
                <w:sz w:val="22"/>
                <w:szCs w:val="22"/>
                <w:lang w:val="fr-BE" w:eastAsia="fr-BE"/>
              </w:rPr>
              <w:t>(Comprend la livraison)</w:t>
            </w:r>
            <w:r w:rsidR="000D36FF" w:rsidRPr="000D36FF">
              <w:rPr>
                <w:rFonts w:ascii="Calibri" w:hAnsi="Calibri"/>
                <w:color w:val="000000"/>
                <w:sz w:val="22"/>
                <w:szCs w:val="22"/>
                <w:lang w:val="fr-BE" w:eastAsia="fr-BE"/>
              </w:rPr>
              <w:t xml:space="preserve"> </w:t>
            </w:r>
          </w:p>
        </w:tc>
        <w:tc>
          <w:tcPr>
            <w:tcW w:w="851" w:type="dxa"/>
            <w:tcBorders>
              <w:top w:val="nil"/>
              <w:left w:val="nil"/>
              <w:bottom w:val="single" w:sz="4" w:space="0" w:color="auto"/>
              <w:right w:val="single" w:sz="4" w:space="0" w:color="auto"/>
            </w:tcBorders>
            <w:shd w:val="clear" w:color="000000" w:fill="DCE6F1"/>
            <w:vAlign w:val="center"/>
          </w:tcPr>
          <w:p w:rsidR="007B7838" w:rsidRPr="00A14207" w:rsidRDefault="00171929" w:rsidP="00506C36">
            <w:pPr>
              <w:jc w:val="center"/>
              <w:rPr>
                <w:rFonts w:ascii="Calibri" w:hAnsi="Calibri"/>
                <w:color w:val="000000"/>
                <w:sz w:val="22"/>
                <w:szCs w:val="22"/>
                <w:lang w:eastAsia="fr-BE"/>
              </w:rPr>
            </w:pPr>
            <w:r>
              <w:rPr>
                <w:rFonts w:ascii="Calibri" w:hAnsi="Calibri"/>
                <w:color w:val="000000"/>
                <w:sz w:val="22"/>
                <w:szCs w:val="22"/>
                <w:lang w:val="fr-BE" w:eastAsia="fr-BE"/>
              </w:rPr>
              <w:t>1</w:t>
            </w:r>
          </w:p>
        </w:tc>
        <w:tc>
          <w:tcPr>
            <w:tcW w:w="1278" w:type="dxa"/>
            <w:tcBorders>
              <w:top w:val="nil"/>
              <w:left w:val="nil"/>
              <w:bottom w:val="single" w:sz="4" w:space="0" w:color="auto"/>
              <w:right w:val="single" w:sz="4" w:space="0" w:color="auto"/>
            </w:tcBorders>
            <w:shd w:val="clear" w:color="000000" w:fill="FDE9D9"/>
            <w:noWrap/>
            <w:vAlign w:val="center"/>
          </w:tcPr>
          <w:p w:rsidR="007B7838" w:rsidRPr="00A14207" w:rsidRDefault="007B7838" w:rsidP="00872805">
            <w:pPr>
              <w:jc w:val="center"/>
              <w:rPr>
                <w:rFonts w:ascii="Calibri" w:hAnsi="Calibri"/>
                <w:color w:val="000000"/>
                <w:sz w:val="22"/>
                <w:szCs w:val="22"/>
                <w:lang w:val="fr-BE" w:eastAsia="fr-BE"/>
              </w:rPr>
            </w:pPr>
            <w:r>
              <w:rPr>
                <w:rFonts w:ascii="Calibri" w:hAnsi="Calibri"/>
                <w:color w:val="000000"/>
                <w:sz w:val="22"/>
                <w:szCs w:val="22"/>
                <w:lang w:val="fr-BE" w:eastAsia="fr-BE"/>
              </w:rPr>
              <w:t>…………….</w:t>
            </w:r>
            <w:r w:rsidRPr="00A14207">
              <w:rPr>
                <w:rFonts w:ascii="Calibri" w:hAnsi="Calibri"/>
                <w:color w:val="000000"/>
                <w:sz w:val="22"/>
                <w:szCs w:val="22"/>
                <w:lang w:val="fr-BE" w:eastAsia="fr-BE"/>
              </w:rPr>
              <w:t>€</w:t>
            </w:r>
          </w:p>
        </w:tc>
        <w:tc>
          <w:tcPr>
            <w:tcW w:w="1134" w:type="dxa"/>
            <w:tcBorders>
              <w:top w:val="nil"/>
              <w:left w:val="nil"/>
              <w:bottom w:val="single" w:sz="4" w:space="0" w:color="auto"/>
              <w:right w:val="single" w:sz="4" w:space="0" w:color="auto"/>
            </w:tcBorders>
            <w:shd w:val="clear" w:color="auto" w:fill="auto"/>
            <w:noWrap/>
            <w:vAlign w:val="center"/>
          </w:tcPr>
          <w:p w:rsidR="007B7838" w:rsidRPr="00A14207" w:rsidRDefault="007B7838" w:rsidP="00872805">
            <w:pPr>
              <w:jc w:val="center"/>
              <w:rPr>
                <w:rFonts w:ascii="Arial" w:hAnsi="Arial" w:cs="Arial"/>
                <w:sz w:val="20"/>
                <w:lang w:val="fr-BE" w:eastAsia="fr-BE"/>
              </w:rPr>
            </w:pPr>
            <w:r>
              <w:rPr>
                <w:rFonts w:ascii="Arial" w:hAnsi="Arial" w:cs="Arial"/>
                <w:sz w:val="20"/>
                <w:lang w:val="fr-BE" w:eastAsia="fr-BE"/>
              </w:rPr>
              <w:t>……….</w:t>
            </w:r>
            <w:r w:rsidRPr="00A14207">
              <w:rPr>
                <w:rFonts w:ascii="Arial" w:hAnsi="Arial" w:cs="Arial"/>
                <w:sz w:val="20"/>
                <w:lang w:val="fr-BE" w:eastAsia="fr-BE"/>
              </w:rPr>
              <w:t>%</w:t>
            </w:r>
          </w:p>
        </w:tc>
        <w:tc>
          <w:tcPr>
            <w:tcW w:w="1559" w:type="dxa"/>
            <w:tcBorders>
              <w:top w:val="nil"/>
              <w:left w:val="nil"/>
              <w:bottom w:val="single" w:sz="4" w:space="0" w:color="auto"/>
              <w:right w:val="single" w:sz="4" w:space="0" w:color="auto"/>
            </w:tcBorders>
            <w:shd w:val="clear" w:color="auto" w:fill="auto"/>
            <w:noWrap/>
            <w:vAlign w:val="center"/>
          </w:tcPr>
          <w:p w:rsidR="007B7838" w:rsidRPr="00A14207" w:rsidRDefault="007B7838" w:rsidP="009C1D8F">
            <w:pPr>
              <w:rPr>
                <w:rFonts w:ascii="Calibri" w:hAnsi="Calibri"/>
                <w:color w:val="000000"/>
                <w:sz w:val="22"/>
                <w:szCs w:val="22"/>
                <w:lang w:val="fr-BE" w:eastAsia="fr-BE"/>
              </w:rPr>
            </w:pPr>
            <w:r>
              <w:rPr>
                <w:rFonts w:ascii="Calibri" w:hAnsi="Calibri"/>
                <w:color w:val="000000"/>
                <w:sz w:val="22"/>
                <w:szCs w:val="22"/>
                <w:lang w:val="fr-BE" w:eastAsia="fr-BE"/>
              </w:rPr>
              <w:t>………………….</w:t>
            </w:r>
            <w:r w:rsidRPr="00A14207">
              <w:rPr>
                <w:rFonts w:ascii="Calibri" w:hAnsi="Calibri"/>
                <w:color w:val="000000"/>
                <w:sz w:val="22"/>
                <w:szCs w:val="22"/>
                <w:lang w:val="fr-BE" w:eastAsia="fr-BE"/>
              </w:rPr>
              <w:t xml:space="preserve">   € </w:t>
            </w:r>
          </w:p>
        </w:tc>
      </w:tr>
      <w:tr w:rsidR="00183927" w:rsidRPr="00A14207" w:rsidTr="00183927">
        <w:trPr>
          <w:trHeight w:val="210"/>
        </w:trPr>
        <w:tc>
          <w:tcPr>
            <w:tcW w:w="5537" w:type="dxa"/>
            <w:gridSpan w:val="2"/>
            <w:tcBorders>
              <w:top w:val="single" w:sz="4" w:space="0" w:color="auto"/>
              <w:left w:val="single" w:sz="4" w:space="0" w:color="auto"/>
              <w:bottom w:val="single" w:sz="4" w:space="0" w:color="auto"/>
              <w:right w:val="single" w:sz="4" w:space="0" w:color="auto"/>
            </w:tcBorders>
            <w:shd w:val="clear" w:color="000000" w:fill="DCE6F1"/>
            <w:noWrap/>
            <w:vAlign w:val="center"/>
          </w:tcPr>
          <w:p w:rsidR="00183927" w:rsidRDefault="00183927" w:rsidP="00A14207">
            <w:pPr>
              <w:jc w:val="center"/>
              <w:rPr>
                <w:rFonts w:ascii="Calibri" w:hAnsi="Calibri"/>
                <w:b/>
                <w:color w:val="000000"/>
                <w:sz w:val="22"/>
                <w:szCs w:val="22"/>
                <w:lang w:eastAsia="fr-BE"/>
              </w:rPr>
            </w:pPr>
          </w:p>
          <w:p w:rsidR="00183927" w:rsidRPr="00A14207" w:rsidRDefault="00183927" w:rsidP="00A14207">
            <w:pPr>
              <w:jc w:val="center"/>
              <w:rPr>
                <w:rFonts w:ascii="Calibri" w:hAnsi="Calibri"/>
                <w:b/>
                <w:color w:val="000000"/>
                <w:sz w:val="22"/>
                <w:szCs w:val="22"/>
                <w:lang w:eastAsia="fr-BE"/>
              </w:rPr>
            </w:pPr>
            <w:r w:rsidRPr="00A14207">
              <w:rPr>
                <w:rFonts w:ascii="Calibri" w:hAnsi="Calibri"/>
                <w:b/>
                <w:color w:val="000000"/>
                <w:sz w:val="22"/>
                <w:szCs w:val="22"/>
                <w:lang w:eastAsia="fr-BE"/>
              </w:rPr>
              <w:t>MONTANT TOTAL</w:t>
            </w:r>
          </w:p>
        </w:tc>
        <w:tc>
          <w:tcPr>
            <w:tcW w:w="127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83927" w:rsidRPr="00A14207" w:rsidRDefault="00183927" w:rsidP="00183927">
            <w:pPr>
              <w:jc w:val="center"/>
              <w:rPr>
                <w:rFonts w:ascii="Calibri" w:hAnsi="Calibri"/>
                <w:b/>
                <w:color w:val="000000"/>
                <w:sz w:val="22"/>
                <w:szCs w:val="22"/>
                <w:lang w:eastAsia="fr-BE"/>
              </w:rPr>
            </w:pPr>
            <w:r w:rsidRPr="00183927">
              <w:rPr>
                <w:rFonts w:ascii="Calibri" w:hAnsi="Calibri"/>
                <w:b/>
                <w:color w:val="000000"/>
                <w:sz w:val="22"/>
                <w:szCs w:val="22"/>
                <w:shd w:val="clear" w:color="auto" w:fill="FDE9D9" w:themeFill="accent6" w:themeFillTint="33"/>
                <w:lang w:val="fr-BE" w:eastAsia="fr-BE"/>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3927" w:rsidRPr="00A14207" w:rsidRDefault="00183927" w:rsidP="00A14207">
            <w:pPr>
              <w:jc w:val="center"/>
              <w:rPr>
                <w:rFonts w:ascii="Arial" w:hAnsi="Arial" w:cs="Arial"/>
                <w:b/>
                <w:sz w:val="20"/>
                <w:lang w:val="fr-BE" w:eastAsia="fr-BE"/>
              </w:rPr>
            </w:pPr>
            <w:r w:rsidRPr="00A14207">
              <w:rPr>
                <w:rFonts w:ascii="Arial" w:hAnsi="Arial" w:cs="Arial"/>
                <w:b/>
                <w:sz w:val="20"/>
                <w:lang w:val="fr-BE" w:eastAsia="fr-BE"/>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83927" w:rsidRPr="00A14207" w:rsidRDefault="00183927" w:rsidP="00A14207">
            <w:pPr>
              <w:rPr>
                <w:rFonts w:ascii="Calibri" w:hAnsi="Calibri"/>
                <w:b/>
                <w:color w:val="000000"/>
                <w:sz w:val="22"/>
                <w:szCs w:val="22"/>
                <w:lang w:val="fr-BE" w:eastAsia="fr-BE"/>
              </w:rPr>
            </w:pPr>
            <w:r w:rsidRPr="00A14207">
              <w:rPr>
                <w:rFonts w:ascii="Calibri" w:hAnsi="Calibri"/>
                <w:b/>
                <w:color w:val="000000"/>
                <w:sz w:val="22"/>
                <w:szCs w:val="22"/>
                <w:lang w:val="fr-BE" w:eastAsia="fr-BE"/>
              </w:rPr>
              <w:t>………………….   €</w:t>
            </w:r>
          </w:p>
        </w:tc>
      </w:tr>
      <w:tr w:rsidR="00506C36" w:rsidRPr="00506C36" w:rsidTr="00DF39E4">
        <w:trPr>
          <w:trHeight w:val="210"/>
        </w:trPr>
        <w:tc>
          <w:tcPr>
            <w:tcW w:w="5537" w:type="dxa"/>
            <w:gridSpan w:val="2"/>
            <w:tcBorders>
              <w:top w:val="single" w:sz="4" w:space="0" w:color="auto"/>
              <w:left w:val="single" w:sz="4" w:space="0" w:color="auto"/>
              <w:bottom w:val="single" w:sz="4" w:space="0" w:color="auto"/>
              <w:right w:val="single" w:sz="4" w:space="0" w:color="auto"/>
            </w:tcBorders>
            <w:shd w:val="clear" w:color="000000" w:fill="DCE6F1"/>
            <w:noWrap/>
            <w:vAlign w:val="center"/>
          </w:tcPr>
          <w:p w:rsidR="00506C36" w:rsidRDefault="00506C36" w:rsidP="00A14207">
            <w:pPr>
              <w:jc w:val="center"/>
              <w:rPr>
                <w:rFonts w:ascii="Calibri" w:hAnsi="Calibri"/>
                <w:b/>
                <w:color w:val="000000"/>
                <w:sz w:val="22"/>
                <w:szCs w:val="22"/>
                <w:lang w:eastAsia="fr-BE"/>
              </w:rPr>
            </w:pPr>
            <w:proofErr w:type="spellStart"/>
            <w:r>
              <w:rPr>
                <w:rFonts w:ascii="Calibri" w:hAnsi="Calibri"/>
                <w:b/>
                <w:color w:val="000000"/>
                <w:sz w:val="22"/>
                <w:szCs w:val="22"/>
                <w:lang w:eastAsia="fr-BE"/>
              </w:rPr>
              <w:t>Délais</w:t>
            </w:r>
            <w:proofErr w:type="spellEnd"/>
            <w:r>
              <w:rPr>
                <w:rFonts w:ascii="Calibri" w:hAnsi="Calibri"/>
                <w:b/>
                <w:color w:val="000000"/>
                <w:sz w:val="22"/>
                <w:szCs w:val="22"/>
                <w:lang w:eastAsia="fr-BE"/>
              </w:rPr>
              <w:t xml:space="preserve"> de livraison</w:t>
            </w:r>
          </w:p>
        </w:tc>
        <w:tc>
          <w:tcPr>
            <w:tcW w:w="397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06C36" w:rsidRDefault="00506C36" w:rsidP="00A14207">
            <w:pPr>
              <w:rPr>
                <w:rFonts w:ascii="Calibri" w:hAnsi="Calibri"/>
                <w:b/>
                <w:color w:val="000000"/>
                <w:sz w:val="22"/>
                <w:szCs w:val="22"/>
                <w:lang w:val="fr-BE" w:eastAsia="fr-BE"/>
              </w:rPr>
            </w:pPr>
          </w:p>
          <w:p w:rsidR="00506C36" w:rsidRDefault="00506C36" w:rsidP="00A14207">
            <w:pPr>
              <w:rPr>
                <w:rFonts w:ascii="Calibri" w:hAnsi="Calibri"/>
                <w:b/>
                <w:color w:val="000000"/>
                <w:sz w:val="22"/>
                <w:szCs w:val="22"/>
                <w:lang w:val="fr-BE" w:eastAsia="fr-BE"/>
              </w:rPr>
            </w:pPr>
            <w:r>
              <w:rPr>
                <w:rFonts w:ascii="Calibri" w:hAnsi="Calibri"/>
                <w:b/>
                <w:color w:val="000000"/>
                <w:sz w:val="22"/>
                <w:szCs w:val="22"/>
                <w:lang w:val="fr-BE" w:eastAsia="fr-BE"/>
              </w:rPr>
              <w:t xml:space="preserve">                      …………….. </w:t>
            </w:r>
            <w:proofErr w:type="gramStart"/>
            <w:r>
              <w:rPr>
                <w:rFonts w:ascii="Calibri" w:hAnsi="Calibri"/>
                <w:b/>
                <w:color w:val="000000"/>
                <w:sz w:val="22"/>
                <w:szCs w:val="22"/>
                <w:lang w:val="fr-BE" w:eastAsia="fr-BE"/>
              </w:rPr>
              <w:t>jours</w:t>
            </w:r>
            <w:proofErr w:type="gramEnd"/>
          </w:p>
          <w:p w:rsidR="00506C36" w:rsidRPr="00A14207" w:rsidRDefault="00506C36" w:rsidP="00A14207">
            <w:pPr>
              <w:rPr>
                <w:rFonts w:ascii="Calibri" w:hAnsi="Calibri"/>
                <w:b/>
                <w:color w:val="000000"/>
                <w:sz w:val="22"/>
                <w:szCs w:val="22"/>
                <w:lang w:val="fr-BE" w:eastAsia="fr-BE"/>
              </w:rPr>
            </w:pPr>
          </w:p>
        </w:tc>
      </w:tr>
    </w:tbl>
    <w:p w:rsidR="00692701" w:rsidRDefault="00692701" w:rsidP="00A36EE8">
      <w:pPr>
        <w:pStyle w:val="STANDARDNIVEAU2"/>
        <w:tabs>
          <w:tab w:val="left" w:leader="dot" w:pos="9639"/>
        </w:tabs>
        <w:spacing w:before="180" w:line="240" w:lineRule="auto"/>
        <w:rPr>
          <w:rFonts w:ascii="Times New Roman" w:hAnsi="Times New Roman"/>
          <w:lang w:val="fr-FR"/>
        </w:rPr>
      </w:pPr>
    </w:p>
    <w:p w:rsidR="00521D6A" w:rsidRDefault="00521D6A" w:rsidP="00FA34E0">
      <w:pPr>
        <w:rPr>
          <w:rFonts w:asciiTheme="minorHAnsi" w:hAnsiTheme="minorHAnsi" w:cs="Arial"/>
          <w:lang w:val="fr-BE"/>
        </w:rPr>
      </w:pPr>
    </w:p>
    <w:p w:rsidR="00C80F3C" w:rsidRPr="001844C2" w:rsidRDefault="001844C2" w:rsidP="00C80F3C">
      <w:pPr>
        <w:pStyle w:val="ListParagraph"/>
        <w:numPr>
          <w:ilvl w:val="0"/>
          <w:numId w:val="3"/>
        </w:numPr>
        <w:rPr>
          <w:rFonts w:cs="Arial"/>
          <w:b/>
          <w:lang w:val="fr-BE"/>
        </w:rPr>
      </w:pPr>
      <w:r>
        <w:rPr>
          <w:rFonts w:cs="Arial"/>
          <w:b/>
          <w:lang w:val="fr-BE"/>
        </w:rPr>
        <w:lastRenderedPageBreak/>
        <w:t xml:space="preserve">Accès à l’ensemble du </w:t>
      </w:r>
      <w:r w:rsidR="00F165BC" w:rsidRPr="001844C2">
        <w:rPr>
          <w:rFonts w:cs="Arial"/>
          <w:b/>
          <w:lang w:val="fr-BE"/>
        </w:rPr>
        <w:t>Catalogue :</w:t>
      </w:r>
    </w:p>
    <w:p w:rsidR="00C80F3C" w:rsidRDefault="00C80F3C" w:rsidP="00FA34E0">
      <w:pPr>
        <w:rPr>
          <w:rFonts w:asciiTheme="minorHAnsi" w:hAnsiTheme="minorHAnsi" w:cs="Arial"/>
          <w:lang w:val="fr-BE"/>
        </w:rPr>
      </w:pPr>
    </w:p>
    <w:p w:rsidR="00D72648" w:rsidRDefault="00C62617" w:rsidP="00FA34E0">
      <w:pPr>
        <w:rPr>
          <w:rFonts w:asciiTheme="minorHAnsi" w:hAnsiTheme="minorHAnsi" w:cs="Arial"/>
          <w:lang w:val="fr-BE"/>
        </w:rPr>
      </w:pPr>
      <w:r>
        <w:rPr>
          <w:rFonts w:asciiTheme="minorHAnsi" w:hAnsiTheme="minorHAnsi" w:cs="Arial"/>
          <w:lang w:val="fr-BE"/>
        </w:rPr>
        <w:t>% de remise sur l’ensemble du catalogue du soumissionnaire : ………………%</w:t>
      </w:r>
    </w:p>
    <w:p w:rsidR="00C80F3C" w:rsidRDefault="00C80F3C" w:rsidP="00FA34E0">
      <w:pPr>
        <w:rPr>
          <w:rFonts w:asciiTheme="minorHAnsi" w:hAnsiTheme="minorHAnsi" w:cs="Arial"/>
          <w:lang w:val="fr-BE"/>
        </w:rPr>
      </w:pPr>
    </w:p>
    <w:p w:rsidR="00C80F3C" w:rsidRDefault="00C80F3C" w:rsidP="00FA34E0">
      <w:pPr>
        <w:rPr>
          <w:rFonts w:asciiTheme="minorHAnsi" w:hAnsiTheme="minorHAnsi" w:cs="Arial"/>
          <w:lang w:val="fr-BE"/>
        </w:rPr>
      </w:pPr>
    </w:p>
    <w:p w:rsidR="00C80F3C" w:rsidRDefault="00C80F3C" w:rsidP="00FA34E0">
      <w:pPr>
        <w:rPr>
          <w:rFonts w:asciiTheme="minorHAnsi" w:hAnsiTheme="minorHAnsi" w:cs="Arial"/>
          <w:lang w:val="fr-BE"/>
        </w:rPr>
      </w:pPr>
    </w:p>
    <w:p w:rsidR="00C80F3C" w:rsidRPr="00A36EE8" w:rsidRDefault="00C80F3C" w:rsidP="00FA34E0">
      <w:pPr>
        <w:rPr>
          <w:rFonts w:asciiTheme="minorHAnsi" w:hAnsiTheme="minorHAnsi" w:cs="Arial"/>
          <w:lang w:val="fr-BE"/>
        </w:rPr>
      </w:pPr>
    </w:p>
    <w:p w:rsidR="00B901A7" w:rsidRDefault="00B901A7" w:rsidP="00FA34E0">
      <w:pPr>
        <w:rPr>
          <w:rFonts w:asciiTheme="minorHAnsi" w:hAnsiTheme="minorHAnsi" w:cs="Arial"/>
          <w:lang w:val="fr-FR"/>
        </w:rPr>
      </w:pPr>
    </w:p>
    <w:p w:rsidR="00692701" w:rsidRPr="00692701" w:rsidRDefault="00692701" w:rsidP="00692701">
      <w:pPr>
        <w:pStyle w:val="Text1"/>
        <w:rPr>
          <w:rFonts w:ascii="Garamond" w:hAnsi="Garamond"/>
          <w:b w:val="0"/>
          <w:i/>
          <w:lang w:val="fr-BE"/>
        </w:rPr>
      </w:pPr>
      <w:r w:rsidRPr="00692701">
        <w:rPr>
          <w:rFonts w:asciiTheme="minorHAnsi" w:hAnsiTheme="minorHAnsi" w:cs="Arial"/>
          <w:i/>
          <w:noProof/>
          <w:lang w:val="fr-BE" w:eastAsia="fr-BE"/>
        </w:rPr>
        <mc:AlternateContent>
          <mc:Choice Requires="wps">
            <w:drawing>
              <wp:anchor distT="0" distB="0" distL="114300" distR="114300" simplePos="0" relativeHeight="251659264" behindDoc="0" locked="0" layoutInCell="1" allowOverlap="1" wp14:anchorId="62007875" wp14:editId="4719FBEB">
                <wp:simplePos x="0" y="0"/>
                <wp:positionH relativeFrom="column">
                  <wp:posOffset>4445</wp:posOffset>
                </wp:positionH>
                <wp:positionV relativeFrom="paragraph">
                  <wp:posOffset>-1270</wp:posOffset>
                </wp:positionV>
                <wp:extent cx="5829300" cy="0"/>
                <wp:effectExtent l="38100" t="38100" r="57150" b="95250"/>
                <wp:wrapNone/>
                <wp:docPr id="1" name="Straight Connector 1"/>
                <wp:cNvGraphicFramePr/>
                <a:graphic xmlns:a="http://schemas.openxmlformats.org/drawingml/2006/main">
                  <a:graphicData uri="http://schemas.microsoft.com/office/word/2010/wordprocessingShape">
                    <wps:wsp>
                      <wps:cNvCnPr/>
                      <wps:spPr>
                        <a:xfrm>
                          <a:off x="0" y="0"/>
                          <a:ext cx="58293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CFEC85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pt" to="45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" strokecolor="black [3200]" strokeweight="2pt">
                <v:shadow on="t" color="black" opacity="24903f" origin=",.5" offset="0,.55556mm"/>
              </v:line>
            </w:pict>
          </mc:Fallback>
        </mc:AlternateContent>
      </w:r>
      <w:r w:rsidRPr="00692701">
        <w:rPr>
          <w:rFonts w:asciiTheme="minorHAnsi" w:hAnsiTheme="minorHAnsi" w:cs="Arial"/>
          <w:i/>
          <w:lang w:val="fr-FR"/>
        </w:rPr>
        <w:t xml:space="preserve">Pour rappel, </w:t>
      </w:r>
      <w:r w:rsidRPr="00692701">
        <w:rPr>
          <w:rFonts w:ascii="Garamond" w:hAnsi="Garamond"/>
          <w:b w:val="0"/>
          <w:i/>
          <w:lang w:val="fr-FR"/>
        </w:rPr>
        <w:t>en cas de divergences entre les différents documents, seul le montant indiqué dans l’offre financière sera pris en compte. Les montants unitaires prévalent sur les montants totaux.</w:t>
      </w:r>
    </w:p>
    <w:p w:rsidR="00692701" w:rsidRPr="00692701" w:rsidRDefault="00692701" w:rsidP="00692701">
      <w:pPr>
        <w:pStyle w:val="Text1"/>
        <w:rPr>
          <w:rFonts w:ascii="Garamond" w:hAnsi="Garamond"/>
          <w:b w:val="0"/>
          <w:i/>
          <w:lang w:val="fr-BE"/>
        </w:rPr>
      </w:pPr>
      <w:r w:rsidRPr="00692701">
        <w:rPr>
          <w:rFonts w:ascii="Garamond" w:hAnsi="Garamond"/>
          <w:b w:val="0"/>
          <w:i/>
          <w:lang w:val="fr-FR"/>
        </w:rPr>
        <w:t>L’offre financière doit être :</w:t>
      </w:r>
    </w:p>
    <w:p w:rsidR="00692701" w:rsidRPr="00692701" w:rsidRDefault="00692701" w:rsidP="00692701">
      <w:pPr>
        <w:pStyle w:val="Text1"/>
        <w:numPr>
          <w:ilvl w:val="0"/>
          <w:numId w:val="1"/>
        </w:numPr>
        <w:rPr>
          <w:rFonts w:ascii="Garamond" w:hAnsi="Garamond"/>
          <w:b w:val="0"/>
          <w:i/>
          <w:lang w:val="fr-BE"/>
        </w:rPr>
      </w:pPr>
      <w:proofErr w:type="gramStart"/>
      <w:r w:rsidRPr="00692701">
        <w:rPr>
          <w:rFonts w:ascii="Garamond" w:hAnsi="Garamond"/>
          <w:b w:val="0"/>
          <w:i/>
          <w:lang w:val="fr-FR"/>
        </w:rPr>
        <w:t>exprimée</w:t>
      </w:r>
      <w:proofErr w:type="gramEnd"/>
      <w:r w:rsidRPr="00692701">
        <w:rPr>
          <w:rFonts w:ascii="Garamond" w:hAnsi="Garamond"/>
          <w:b w:val="0"/>
          <w:i/>
          <w:lang w:val="fr-FR"/>
        </w:rPr>
        <w:t xml:space="preserve"> en euros. Les soumissionnaires des pays situés hors de la zone euro doivent indiquer leurs prix en euros. Le prix indiqué ne peut être revu en fonction de l’évolution des taux de change. Il appartient au soumissionnaire d’assumer les risques découlant de toute variation des taux de change, et c’est lui qui bénéficiera de ces variations le cas échéant.</w:t>
      </w:r>
    </w:p>
    <w:p w:rsidR="00692701" w:rsidRPr="00692701" w:rsidRDefault="00692701" w:rsidP="00692701">
      <w:pPr>
        <w:pStyle w:val="Text1"/>
        <w:numPr>
          <w:ilvl w:val="0"/>
          <w:numId w:val="1"/>
        </w:numPr>
        <w:rPr>
          <w:rFonts w:ascii="Garamond" w:hAnsi="Garamond"/>
          <w:b w:val="0"/>
          <w:i/>
          <w:lang w:val="fr-BE"/>
        </w:rPr>
      </w:pPr>
      <w:proofErr w:type="gramStart"/>
      <w:r w:rsidRPr="00692701">
        <w:rPr>
          <w:rFonts w:ascii="Garamond" w:hAnsi="Garamond"/>
          <w:b w:val="0"/>
          <w:i/>
          <w:lang w:val="fr-FR"/>
        </w:rPr>
        <w:t>formulée</w:t>
      </w:r>
      <w:proofErr w:type="gramEnd"/>
      <w:r w:rsidRPr="00692701">
        <w:rPr>
          <w:rFonts w:ascii="Garamond" w:hAnsi="Garamond"/>
          <w:b w:val="0"/>
          <w:i/>
          <w:lang w:val="fr-FR"/>
        </w:rPr>
        <w:t xml:space="preserve"> en franchise de tous droits, taxes et autres frais, c’est-à-dire également en exonération de TVA. Le soumissionnaire peut indiquer le montant de la TVA, mais celui-ci doit apparaître séparément.</w:t>
      </w:r>
    </w:p>
    <w:p w:rsidR="00A36EE8" w:rsidRPr="00692701" w:rsidRDefault="00692701" w:rsidP="00692701">
      <w:pPr>
        <w:pStyle w:val="Text1"/>
        <w:rPr>
          <w:rFonts w:ascii="Garamond" w:hAnsi="Garamond"/>
          <w:b w:val="0"/>
          <w:lang w:val="fr-BE"/>
        </w:rPr>
      </w:pPr>
      <w:r w:rsidRPr="00692701">
        <w:rPr>
          <w:rFonts w:asciiTheme="minorHAnsi" w:hAnsiTheme="minorHAnsi" w:cs="Arial"/>
          <w:i/>
          <w:noProof/>
          <w:lang w:val="fr-BE" w:eastAsia="fr-BE"/>
        </w:rPr>
        <mc:AlternateContent>
          <mc:Choice Requires="wps">
            <w:drawing>
              <wp:anchor distT="0" distB="0" distL="114300" distR="114300" simplePos="0" relativeHeight="251661312" behindDoc="0" locked="0" layoutInCell="1" allowOverlap="1" wp14:anchorId="4AE230ED" wp14:editId="627BC3AB">
                <wp:simplePos x="0" y="0"/>
                <wp:positionH relativeFrom="column">
                  <wp:posOffset>13970</wp:posOffset>
                </wp:positionH>
                <wp:positionV relativeFrom="paragraph">
                  <wp:posOffset>629285</wp:posOffset>
                </wp:positionV>
                <wp:extent cx="5829300" cy="0"/>
                <wp:effectExtent l="38100" t="38100" r="57150" b="95250"/>
                <wp:wrapNone/>
                <wp:docPr id="2"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94536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49.55pt" to="460.1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" strokecolor="black [3200]" strokeweight="2pt">
                <v:shadow on="t" color="black" opacity="24903f" origin=",.5" offset="0,.55556mm"/>
              </v:line>
            </w:pict>
          </mc:Fallback>
        </mc:AlternateContent>
      </w:r>
      <w:r w:rsidRPr="00692701">
        <w:rPr>
          <w:rFonts w:ascii="Garamond" w:hAnsi="Garamond"/>
          <w:b w:val="0"/>
          <w:i/>
          <w:lang w:val="fr-BE"/>
        </w:rPr>
        <w:t>Les Ecoles européennes sont exonérées de ces frais. L’exonération est accordée aux Ecoles européennes par les gouvernements des Etats membres. En Belgique, les Ecoles européennes sont exonérées par l’exemption no 450, article 42, § 3, alinéa 1er, 4°, du Code de la TVA.</w:t>
      </w:r>
    </w:p>
    <w:p w:rsidR="00B901A7" w:rsidRDefault="00B901A7" w:rsidP="00FA34E0">
      <w:pPr>
        <w:rPr>
          <w:rFonts w:asciiTheme="minorHAnsi" w:hAnsiTheme="minorHAnsi" w:cs="Arial"/>
          <w:lang w:val="fr-FR"/>
        </w:rPr>
      </w:pPr>
    </w:p>
    <w:p w:rsidR="00692701" w:rsidRDefault="00692701" w:rsidP="00FA34E0">
      <w:pPr>
        <w:rPr>
          <w:rFonts w:asciiTheme="minorHAnsi" w:hAnsiTheme="minorHAnsi" w:cs="Arial"/>
          <w:lang w:val="fr-FR"/>
        </w:rPr>
      </w:pPr>
    </w:p>
    <w:p w:rsidR="00692701" w:rsidRDefault="00692701" w:rsidP="00FA34E0">
      <w:pPr>
        <w:rPr>
          <w:rFonts w:asciiTheme="minorHAnsi" w:hAnsiTheme="minorHAnsi" w:cs="Arial"/>
          <w:lang w:val="fr-FR"/>
        </w:rPr>
      </w:pPr>
    </w:p>
    <w:p w:rsidR="00B901A7" w:rsidRDefault="00B901A7" w:rsidP="00FA34E0">
      <w:pPr>
        <w:rPr>
          <w:rFonts w:asciiTheme="minorHAnsi" w:hAnsiTheme="minorHAnsi" w:cs="Arial"/>
          <w:lang w:val="fr-FR"/>
        </w:rPr>
      </w:pPr>
    </w:p>
    <w:p w:rsidR="00FA34E0" w:rsidRPr="0030311C" w:rsidRDefault="00FA34E0" w:rsidP="00FA34E0">
      <w:pPr>
        <w:rPr>
          <w:rFonts w:asciiTheme="minorHAnsi" w:hAnsiTheme="minorHAnsi" w:cs="Arial"/>
          <w:lang w:val="fr-FR"/>
        </w:rPr>
      </w:pPr>
      <w:r w:rsidRPr="0030311C">
        <w:rPr>
          <w:rFonts w:asciiTheme="minorHAnsi" w:hAnsiTheme="minorHAnsi" w:cs="Arial"/>
          <w:lang w:val="fr-FR"/>
        </w:rPr>
        <w:t>Date</w:t>
      </w:r>
      <w:r w:rsidRPr="0030311C">
        <w:rPr>
          <w:rFonts w:asciiTheme="minorHAnsi" w:hAnsiTheme="minorHAnsi" w:cs="Arial"/>
          <w:lang w:val="fr-FR"/>
        </w:rPr>
        <w:tab/>
      </w:r>
      <w:r w:rsidR="00D4550F" w:rsidRPr="0030311C">
        <w:rPr>
          <w:rFonts w:asciiTheme="minorHAnsi" w:hAnsiTheme="minorHAnsi" w:cs="Arial"/>
          <w:lang w:val="fr-FR"/>
        </w:rPr>
        <w:t>:</w:t>
      </w:r>
      <w:r w:rsidR="00521D6A">
        <w:rPr>
          <w:rFonts w:asciiTheme="minorHAnsi" w:hAnsiTheme="minorHAnsi" w:cs="Arial"/>
          <w:lang w:val="fr-FR"/>
        </w:rPr>
        <w:t xml:space="preserve"> </w:t>
      </w:r>
      <w:r w:rsidR="00D4550F" w:rsidRPr="0030311C">
        <w:rPr>
          <w:rFonts w:asciiTheme="minorHAnsi" w:hAnsiTheme="minorHAnsi" w:cs="Arial"/>
          <w:lang w:val="fr-FR"/>
        </w:rPr>
        <w:t xml:space="preserve">………        </w:t>
      </w:r>
      <w:r w:rsidR="00D4550F" w:rsidRPr="0030311C">
        <w:rPr>
          <w:rFonts w:asciiTheme="minorHAnsi" w:hAnsiTheme="minorHAnsi" w:cs="Arial"/>
          <w:lang w:val="fr-FR"/>
        </w:rPr>
        <w:tab/>
      </w:r>
      <w:r w:rsidRPr="0030311C">
        <w:rPr>
          <w:rFonts w:asciiTheme="minorHAnsi" w:hAnsiTheme="minorHAnsi" w:cs="Arial"/>
          <w:lang w:val="fr-FR"/>
        </w:rPr>
        <w:tab/>
      </w:r>
      <w:r w:rsidRPr="0030311C">
        <w:rPr>
          <w:rFonts w:asciiTheme="minorHAnsi" w:hAnsiTheme="minorHAnsi" w:cs="Arial"/>
          <w:lang w:val="fr-FR"/>
        </w:rPr>
        <w:tab/>
      </w:r>
      <w:r w:rsidRPr="0030311C">
        <w:rPr>
          <w:rFonts w:asciiTheme="minorHAnsi" w:hAnsiTheme="minorHAnsi" w:cs="Arial"/>
          <w:lang w:val="fr-FR"/>
        </w:rPr>
        <w:tab/>
      </w:r>
      <w:r w:rsidRPr="0030311C">
        <w:rPr>
          <w:rFonts w:asciiTheme="minorHAnsi" w:hAnsiTheme="minorHAnsi" w:cs="Arial"/>
          <w:lang w:val="fr-FR"/>
        </w:rPr>
        <w:tab/>
      </w:r>
      <w:r w:rsidRPr="0030311C">
        <w:rPr>
          <w:rFonts w:asciiTheme="minorHAnsi" w:hAnsiTheme="minorHAnsi" w:cs="Arial"/>
          <w:lang w:val="fr-FR"/>
        </w:rPr>
        <w:tab/>
        <w:t xml:space="preserve">Cachet </w:t>
      </w:r>
    </w:p>
    <w:p w:rsidR="00FA34E0" w:rsidRPr="0030311C" w:rsidRDefault="00FA34E0" w:rsidP="00FA34E0">
      <w:pPr>
        <w:rPr>
          <w:rFonts w:asciiTheme="minorHAnsi" w:hAnsiTheme="minorHAnsi" w:cs="Arial"/>
          <w:lang w:val="fr-FR"/>
        </w:rPr>
      </w:pPr>
    </w:p>
    <w:p w:rsidR="00FA34E0" w:rsidRPr="0030311C" w:rsidRDefault="00FA34E0" w:rsidP="00FA34E0">
      <w:pPr>
        <w:rPr>
          <w:rFonts w:asciiTheme="minorHAnsi" w:hAnsiTheme="minorHAnsi" w:cs="Arial"/>
          <w:lang w:val="fr-FR"/>
        </w:rPr>
      </w:pPr>
    </w:p>
    <w:p w:rsidR="00FA34E0" w:rsidRPr="0030311C" w:rsidRDefault="00FA34E0" w:rsidP="00FA34E0">
      <w:pPr>
        <w:rPr>
          <w:rFonts w:asciiTheme="minorHAnsi" w:hAnsiTheme="minorHAnsi" w:cs="Arial"/>
          <w:sz w:val="22"/>
          <w:szCs w:val="22"/>
          <w:u w:val="single"/>
          <w:lang w:val="fr-FR"/>
        </w:rPr>
      </w:pPr>
      <w:bookmarkStart w:id="2" w:name="_Toc133224189"/>
      <w:bookmarkStart w:id="3" w:name="_Ref385226591"/>
      <w:r w:rsidRPr="0030311C">
        <w:rPr>
          <w:rFonts w:asciiTheme="minorHAnsi" w:hAnsiTheme="minorHAnsi" w:cs="Arial"/>
          <w:lang w:val="fr-FR"/>
        </w:rPr>
        <w:tab/>
      </w:r>
      <w:r w:rsidRPr="0030311C">
        <w:rPr>
          <w:rFonts w:asciiTheme="minorHAnsi" w:hAnsiTheme="minorHAnsi" w:cs="Arial"/>
          <w:lang w:val="fr-FR"/>
        </w:rPr>
        <w:tab/>
      </w:r>
      <w:r w:rsidRPr="0030311C">
        <w:rPr>
          <w:rFonts w:asciiTheme="minorHAnsi" w:hAnsiTheme="minorHAnsi" w:cs="Arial"/>
          <w:lang w:val="fr-FR"/>
        </w:rPr>
        <w:tab/>
      </w:r>
      <w:r w:rsidRPr="0030311C">
        <w:rPr>
          <w:rFonts w:asciiTheme="minorHAnsi" w:hAnsiTheme="minorHAnsi" w:cs="Arial"/>
          <w:lang w:val="fr-FR"/>
        </w:rPr>
        <w:tab/>
      </w:r>
      <w:r w:rsidRPr="0030311C">
        <w:rPr>
          <w:rFonts w:asciiTheme="minorHAnsi" w:hAnsiTheme="minorHAnsi" w:cs="Arial"/>
          <w:lang w:val="fr-FR"/>
        </w:rPr>
        <w:tab/>
      </w:r>
      <w:r w:rsidRPr="0030311C">
        <w:rPr>
          <w:rFonts w:asciiTheme="minorHAnsi" w:hAnsiTheme="minorHAnsi" w:cs="Arial"/>
          <w:lang w:val="fr-FR"/>
        </w:rPr>
        <w:tab/>
      </w:r>
      <w:r w:rsidRPr="0030311C">
        <w:rPr>
          <w:rFonts w:asciiTheme="minorHAnsi" w:hAnsiTheme="minorHAnsi" w:cs="Arial"/>
          <w:lang w:val="fr-FR"/>
        </w:rPr>
        <w:tab/>
      </w:r>
      <w:r w:rsidRPr="0030311C">
        <w:rPr>
          <w:rFonts w:asciiTheme="minorHAnsi" w:hAnsiTheme="minorHAnsi" w:cs="Arial"/>
          <w:lang w:val="fr-FR"/>
        </w:rPr>
        <w:tab/>
        <w:t>Signature</w:t>
      </w:r>
      <w:bookmarkEnd w:id="2"/>
      <w:bookmarkEnd w:id="3"/>
    </w:p>
    <w:p w:rsidR="00005AFC" w:rsidRDefault="00005AFC">
      <w:pPr>
        <w:rPr>
          <w:rFonts w:asciiTheme="minorHAnsi" w:hAnsiTheme="minorHAnsi"/>
        </w:rPr>
      </w:pPr>
    </w:p>
    <w:p w:rsidR="00A055FC" w:rsidRDefault="00A055FC">
      <w:pPr>
        <w:rPr>
          <w:rFonts w:asciiTheme="minorHAnsi" w:hAnsiTheme="minorHAnsi"/>
        </w:rPr>
      </w:pPr>
    </w:p>
    <w:p w:rsidR="00A055FC" w:rsidRDefault="00A055FC">
      <w:pPr>
        <w:rPr>
          <w:rFonts w:asciiTheme="minorHAnsi" w:hAnsiTheme="minorHAnsi"/>
        </w:rPr>
      </w:pPr>
    </w:p>
    <w:p w:rsidR="00A055FC" w:rsidRDefault="00A055FC">
      <w:pPr>
        <w:rPr>
          <w:rFonts w:asciiTheme="minorHAnsi" w:hAnsiTheme="minorHAnsi"/>
        </w:rPr>
      </w:pPr>
    </w:p>
    <w:p w:rsidR="00A055FC" w:rsidRPr="0030311C" w:rsidRDefault="00A055FC">
      <w:pPr>
        <w:rPr>
          <w:rFonts w:asciiTheme="minorHAnsi" w:hAnsiTheme="minorHAnsi"/>
        </w:rPr>
      </w:pPr>
    </w:p>
    <w:sectPr w:rsidR="00A055FC" w:rsidRPr="0030311C" w:rsidSect="00AE01E7">
      <w:footnotePr>
        <w:numFmt w:val="lowerLetter"/>
        <w:numRestart w:val="eachSect"/>
      </w:footnotePr>
      <w:endnotePr>
        <w:numFmt w:val="lowerLetter"/>
      </w:endnotePr>
      <w:pgSz w:w="11905" w:h="16837" w:code="9"/>
      <w:pgMar w:top="970" w:right="1418" w:bottom="567" w:left="1418" w:header="851" w:footer="567" w:gutter="0"/>
      <w:pgBorders w:offsetFrom="page">
        <w:top w:val="single" w:sz="2" w:space="24" w:color="000000"/>
        <w:left w:val="single" w:sz="2" w:space="24" w:color="000000"/>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76C4"/>
    <w:multiLevelType w:val="hybridMultilevel"/>
    <w:tmpl w:val="EF82E8F6"/>
    <w:lvl w:ilvl="0" w:tplc="202466CA">
      <w:start w:val="12"/>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10222114"/>
    <w:multiLevelType w:val="hybridMultilevel"/>
    <w:tmpl w:val="05E0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361C2"/>
    <w:multiLevelType w:val="hybridMultilevel"/>
    <w:tmpl w:val="3FCA84A8"/>
    <w:lvl w:ilvl="0" w:tplc="93409666">
      <w:start w:val="12"/>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589E0125"/>
    <w:multiLevelType w:val="hybridMultilevel"/>
    <w:tmpl w:val="2EA8296E"/>
    <w:lvl w:ilvl="0" w:tplc="0900A1F2">
      <w:numFmt w:val="bullet"/>
      <w:lvlText w:val="-"/>
      <w:lvlJc w:val="left"/>
      <w:pPr>
        <w:ind w:left="720" w:hanging="360"/>
      </w:pPr>
      <w:rPr>
        <w:rFonts w:ascii="Times New Roman" w:eastAsia="Times New Roman" w:hAnsi="Times New Roman" w:cs="Times New Roman" w:hint="default"/>
        <w:color w:val="auto"/>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35B7837"/>
    <w:multiLevelType w:val="hybridMultilevel"/>
    <w:tmpl w:val="D8D85D6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28D4BC1"/>
    <w:multiLevelType w:val="hybridMultilevel"/>
    <w:tmpl w:val="78A4871C"/>
    <w:lvl w:ilvl="0" w:tplc="904C5C46">
      <w:start w:val="6"/>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lowerLetter"/>
    <w:numRestart w:val="eachSect"/>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4E0"/>
    <w:rsid w:val="0000279E"/>
    <w:rsid w:val="00005AFC"/>
    <w:rsid w:val="000B0461"/>
    <w:rsid w:val="000D36FF"/>
    <w:rsid w:val="000F133B"/>
    <w:rsid w:val="00100191"/>
    <w:rsid w:val="00120EA3"/>
    <w:rsid w:val="00171929"/>
    <w:rsid w:val="00183927"/>
    <w:rsid w:val="001844C2"/>
    <w:rsid w:val="001B3231"/>
    <w:rsid w:val="001D4D2F"/>
    <w:rsid w:val="00245865"/>
    <w:rsid w:val="002D735D"/>
    <w:rsid w:val="002E693E"/>
    <w:rsid w:val="0030311C"/>
    <w:rsid w:val="00307B29"/>
    <w:rsid w:val="00322691"/>
    <w:rsid w:val="00385545"/>
    <w:rsid w:val="00395679"/>
    <w:rsid w:val="00396950"/>
    <w:rsid w:val="003E092E"/>
    <w:rsid w:val="003E3820"/>
    <w:rsid w:val="00433C42"/>
    <w:rsid w:val="004A10B7"/>
    <w:rsid w:val="004B4B42"/>
    <w:rsid w:val="004E1212"/>
    <w:rsid w:val="004E3D94"/>
    <w:rsid w:val="00506C36"/>
    <w:rsid w:val="00521D6A"/>
    <w:rsid w:val="00530796"/>
    <w:rsid w:val="00585D4C"/>
    <w:rsid w:val="005B1169"/>
    <w:rsid w:val="005F67FA"/>
    <w:rsid w:val="00670F1D"/>
    <w:rsid w:val="00692701"/>
    <w:rsid w:val="00695DC5"/>
    <w:rsid w:val="006C5065"/>
    <w:rsid w:val="00732650"/>
    <w:rsid w:val="007831F3"/>
    <w:rsid w:val="007B7838"/>
    <w:rsid w:val="007C0311"/>
    <w:rsid w:val="007F695F"/>
    <w:rsid w:val="00837636"/>
    <w:rsid w:val="00872805"/>
    <w:rsid w:val="008C6963"/>
    <w:rsid w:val="00913951"/>
    <w:rsid w:val="00947D09"/>
    <w:rsid w:val="00963D44"/>
    <w:rsid w:val="00976FFE"/>
    <w:rsid w:val="009C799E"/>
    <w:rsid w:val="009D0D88"/>
    <w:rsid w:val="009E1D20"/>
    <w:rsid w:val="00A005FA"/>
    <w:rsid w:val="00A055FC"/>
    <w:rsid w:val="00A14207"/>
    <w:rsid w:val="00A36EE8"/>
    <w:rsid w:val="00A831A6"/>
    <w:rsid w:val="00A91673"/>
    <w:rsid w:val="00AC7A6F"/>
    <w:rsid w:val="00B34CA7"/>
    <w:rsid w:val="00B70CA6"/>
    <w:rsid w:val="00B81E0F"/>
    <w:rsid w:val="00B901A7"/>
    <w:rsid w:val="00C05D28"/>
    <w:rsid w:val="00C56B09"/>
    <w:rsid w:val="00C62617"/>
    <w:rsid w:val="00C74F45"/>
    <w:rsid w:val="00C80F3C"/>
    <w:rsid w:val="00CA6328"/>
    <w:rsid w:val="00CF37BA"/>
    <w:rsid w:val="00D4550F"/>
    <w:rsid w:val="00D72648"/>
    <w:rsid w:val="00D75C30"/>
    <w:rsid w:val="00DB3171"/>
    <w:rsid w:val="00E72369"/>
    <w:rsid w:val="00EA396F"/>
    <w:rsid w:val="00EC2997"/>
    <w:rsid w:val="00EF53EA"/>
    <w:rsid w:val="00F03EFA"/>
    <w:rsid w:val="00F165BC"/>
    <w:rsid w:val="00F70CEC"/>
    <w:rsid w:val="00FA0FAB"/>
    <w:rsid w:val="00FA34E0"/>
    <w:rsid w:val="00FA4F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6D7F"/>
  <w15:docId w15:val="{DB61F7CA-D984-4BBF-9B07-09DD56BA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4E0"/>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Normal"/>
    <w:next w:val="Normal"/>
    <w:rsid w:val="00FA34E0"/>
    <w:pPr>
      <w:spacing w:after="480"/>
      <w:ind w:left="1191" w:hanging="1191"/>
    </w:pPr>
    <w:rPr>
      <w:b/>
      <w:lang w:val="fr-FR" w:eastAsia="en-GB"/>
    </w:rPr>
  </w:style>
  <w:style w:type="table" w:styleId="TableGrid">
    <w:name w:val="Table Grid"/>
    <w:basedOn w:val="TableNormal"/>
    <w:uiPriority w:val="59"/>
    <w:rsid w:val="00783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1673"/>
    <w:rPr>
      <w:rFonts w:ascii="Tahoma" w:hAnsi="Tahoma" w:cs="Tahoma"/>
      <w:sz w:val="16"/>
      <w:szCs w:val="16"/>
    </w:rPr>
  </w:style>
  <w:style w:type="character" w:customStyle="1" w:styleId="BalloonTextChar">
    <w:name w:val="Balloon Text Char"/>
    <w:basedOn w:val="DefaultParagraphFont"/>
    <w:link w:val="BalloonText"/>
    <w:uiPriority w:val="99"/>
    <w:semiHidden/>
    <w:rsid w:val="00A91673"/>
    <w:rPr>
      <w:rFonts w:ascii="Tahoma" w:eastAsia="Times New Roman" w:hAnsi="Tahoma" w:cs="Tahoma"/>
      <w:sz w:val="16"/>
      <w:szCs w:val="16"/>
      <w:lang w:val="en-US"/>
    </w:rPr>
  </w:style>
  <w:style w:type="paragraph" w:customStyle="1" w:styleId="STANDARDNIVEAU2">
    <w:name w:val="STANDARD NIVEAU 2"/>
    <w:rsid w:val="00A36EE8"/>
    <w:pPr>
      <w:keepLines/>
      <w:spacing w:before="240" w:after="0" w:line="240" w:lineRule="exact"/>
      <w:ind w:left="567"/>
    </w:pPr>
    <w:rPr>
      <w:rFonts w:ascii="Courier" w:eastAsia="Times New Roman" w:hAnsi="Courier" w:cs="Times New Roman"/>
      <w:sz w:val="24"/>
      <w:szCs w:val="20"/>
      <w:lang w:val="en-GB" w:eastAsia="fr-BE"/>
    </w:rPr>
  </w:style>
  <w:style w:type="paragraph" w:customStyle="1" w:styleId="Text1">
    <w:name w:val="Text 1"/>
    <w:basedOn w:val="Normal"/>
    <w:link w:val="Text1Char"/>
    <w:qFormat/>
    <w:rsid w:val="00692701"/>
    <w:pPr>
      <w:spacing w:before="100" w:beforeAutospacing="1" w:after="100" w:afterAutospacing="1"/>
      <w:jc w:val="both"/>
    </w:pPr>
    <w:rPr>
      <w:b/>
      <w:szCs w:val="24"/>
      <w:lang w:val="en-GB" w:eastAsia="en-GB"/>
    </w:rPr>
  </w:style>
  <w:style w:type="character" w:customStyle="1" w:styleId="Text1Char">
    <w:name w:val="Text 1 Char"/>
    <w:link w:val="Text1"/>
    <w:rsid w:val="00692701"/>
    <w:rPr>
      <w:rFonts w:ascii="Times New Roman" w:eastAsia="Times New Roman" w:hAnsi="Times New Roman" w:cs="Times New Roman"/>
      <w:b/>
      <w:sz w:val="24"/>
      <w:szCs w:val="24"/>
      <w:lang w:val="en-GB" w:eastAsia="en-GB"/>
    </w:rPr>
  </w:style>
  <w:style w:type="paragraph" w:styleId="ListParagraph">
    <w:name w:val="List Paragraph"/>
    <w:basedOn w:val="Normal"/>
    <w:uiPriority w:val="34"/>
    <w:qFormat/>
    <w:rsid w:val="00A831A6"/>
    <w:pPr>
      <w:spacing w:after="200" w:line="276" w:lineRule="auto"/>
      <w:ind w:left="720"/>
      <w:contextualSpacing/>
    </w:pPr>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6247">
      <w:bodyDiv w:val="1"/>
      <w:marLeft w:val="0"/>
      <w:marRight w:val="0"/>
      <w:marTop w:val="0"/>
      <w:marBottom w:val="0"/>
      <w:divBdr>
        <w:top w:val="none" w:sz="0" w:space="0" w:color="auto"/>
        <w:left w:val="none" w:sz="0" w:space="0" w:color="auto"/>
        <w:bottom w:val="none" w:sz="0" w:space="0" w:color="auto"/>
        <w:right w:val="none" w:sz="0" w:space="0" w:color="auto"/>
      </w:divBdr>
    </w:div>
    <w:div w:id="80641055">
      <w:bodyDiv w:val="1"/>
      <w:marLeft w:val="0"/>
      <w:marRight w:val="0"/>
      <w:marTop w:val="0"/>
      <w:marBottom w:val="0"/>
      <w:divBdr>
        <w:top w:val="none" w:sz="0" w:space="0" w:color="auto"/>
        <w:left w:val="none" w:sz="0" w:space="0" w:color="auto"/>
        <w:bottom w:val="none" w:sz="0" w:space="0" w:color="auto"/>
        <w:right w:val="none" w:sz="0" w:space="0" w:color="auto"/>
      </w:divBdr>
    </w:div>
    <w:div w:id="98841212">
      <w:bodyDiv w:val="1"/>
      <w:marLeft w:val="0"/>
      <w:marRight w:val="0"/>
      <w:marTop w:val="0"/>
      <w:marBottom w:val="0"/>
      <w:divBdr>
        <w:top w:val="none" w:sz="0" w:space="0" w:color="auto"/>
        <w:left w:val="none" w:sz="0" w:space="0" w:color="auto"/>
        <w:bottom w:val="none" w:sz="0" w:space="0" w:color="auto"/>
        <w:right w:val="none" w:sz="0" w:space="0" w:color="auto"/>
      </w:divBdr>
    </w:div>
    <w:div w:id="279532176">
      <w:bodyDiv w:val="1"/>
      <w:marLeft w:val="0"/>
      <w:marRight w:val="0"/>
      <w:marTop w:val="0"/>
      <w:marBottom w:val="0"/>
      <w:divBdr>
        <w:top w:val="none" w:sz="0" w:space="0" w:color="auto"/>
        <w:left w:val="none" w:sz="0" w:space="0" w:color="auto"/>
        <w:bottom w:val="none" w:sz="0" w:space="0" w:color="auto"/>
        <w:right w:val="none" w:sz="0" w:space="0" w:color="auto"/>
      </w:divBdr>
    </w:div>
    <w:div w:id="520247546">
      <w:bodyDiv w:val="1"/>
      <w:marLeft w:val="0"/>
      <w:marRight w:val="0"/>
      <w:marTop w:val="0"/>
      <w:marBottom w:val="0"/>
      <w:divBdr>
        <w:top w:val="none" w:sz="0" w:space="0" w:color="auto"/>
        <w:left w:val="none" w:sz="0" w:space="0" w:color="auto"/>
        <w:bottom w:val="none" w:sz="0" w:space="0" w:color="auto"/>
        <w:right w:val="none" w:sz="0" w:space="0" w:color="auto"/>
      </w:divBdr>
    </w:div>
    <w:div w:id="805587292">
      <w:bodyDiv w:val="1"/>
      <w:marLeft w:val="0"/>
      <w:marRight w:val="0"/>
      <w:marTop w:val="0"/>
      <w:marBottom w:val="0"/>
      <w:divBdr>
        <w:top w:val="none" w:sz="0" w:space="0" w:color="auto"/>
        <w:left w:val="none" w:sz="0" w:space="0" w:color="auto"/>
        <w:bottom w:val="none" w:sz="0" w:space="0" w:color="auto"/>
        <w:right w:val="none" w:sz="0" w:space="0" w:color="auto"/>
      </w:divBdr>
    </w:div>
    <w:div w:id="963077991">
      <w:bodyDiv w:val="1"/>
      <w:marLeft w:val="0"/>
      <w:marRight w:val="0"/>
      <w:marTop w:val="0"/>
      <w:marBottom w:val="0"/>
      <w:divBdr>
        <w:top w:val="none" w:sz="0" w:space="0" w:color="auto"/>
        <w:left w:val="none" w:sz="0" w:space="0" w:color="auto"/>
        <w:bottom w:val="none" w:sz="0" w:space="0" w:color="auto"/>
        <w:right w:val="none" w:sz="0" w:space="0" w:color="auto"/>
      </w:divBdr>
    </w:div>
    <w:div w:id="1168859876">
      <w:bodyDiv w:val="1"/>
      <w:marLeft w:val="0"/>
      <w:marRight w:val="0"/>
      <w:marTop w:val="0"/>
      <w:marBottom w:val="0"/>
      <w:divBdr>
        <w:top w:val="none" w:sz="0" w:space="0" w:color="auto"/>
        <w:left w:val="none" w:sz="0" w:space="0" w:color="auto"/>
        <w:bottom w:val="none" w:sz="0" w:space="0" w:color="auto"/>
        <w:right w:val="none" w:sz="0" w:space="0" w:color="auto"/>
      </w:divBdr>
    </w:div>
    <w:div w:id="140097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the-user</dc:creator>
  <cp:lastModifiedBy>NAUZIN Andrea (UCC)</cp:lastModifiedBy>
  <cp:revision>6</cp:revision>
  <cp:lastPrinted>2021-01-13T13:29:00Z</cp:lastPrinted>
  <dcterms:created xsi:type="dcterms:W3CDTF">2021-01-13T13:27:00Z</dcterms:created>
  <dcterms:modified xsi:type="dcterms:W3CDTF">2024-11-22T13:29:00Z</dcterms:modified>
</cp:coreProperties>
</file>